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Российская Федерация</w:t>
      </w:r>
      <w:r>
        <w:rPr>
          <w:b/>
          <w:sz w:val="28"/>
          <w:szCs w:val="28"/>
        </w:rPr>
        <w:t xml:space="preserve">                               проект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Иркутская область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«Тайшетский район»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Тайшетское муниципальное образование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«Тайшетское городское поселение»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Тайшетского городского поселения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</w:t>
      </w:r>
      <w:r>
        <w:rPr>
          <w:b/>
          <w:sz w:val="28"/>
          <w:szCs w:val="28"/>
        </w:rPr>
        <w:t xml:space="preserve">пятый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созыв)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Ш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г.</w:t>
        <w:tab/>
        <w:tab/>
        <w:tab/>
        <w:tab/>
        <w:t xml:space="preserve">г. Тайшет</w:t>
        <w:tab/>
        <w:tab/>
        <w:tab/>
        <w:tab/>
        <w:tab/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right="56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Тайшетского городско</w:t>
      </w:r>
      <w:r>
        <w:rPr>
          <w:sz w:val="28"/>
          <w:szCs w:val="28"/>
        </w:rPr>
        <w:t xml:space="preserve">го п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селения за </w:t>
      </w:r>
      <w:r>
        <w:rPr>
          <w:sz w:val="28"/>
          <w:szCs w:val="28"/>
        </w:rPr>
        <w:t xml:space="preserve">девять месяцев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right="56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708"/>
        <w:rPr>
          <w:szCs w:val="28"/>
        </w:rPr>
      </w:pPr>
      <w:r>
        <w:rPr>
          <w:szCs w:val="28"/>
        </w:rPr>
        <w:tab/>
        <w:tab/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0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08"/>
        <w:rPr>
          <w:szCs w:val="28"/>
        </w:rPr>
      </w:pPr>
      <w:r>
        <w:rPr>
          <w:szCs w:val="28"/>
        </w:rPr>
        <w:t xml:space="preserve">Рассмотрев </w:t>
      </w:r>
      <w:r>
        <w:rPr>
          <w:szCs w:val="28"/>
        </w:rPr>
        <w:t xml:space="preserve">информацию </w:t>
      </w:r>
      <w:r>
        <w:rPr>
          <w:szCs w:val="28"/>
        </w:rPr>
        <w:t xml:space="preserve">об исполнении бюджета Та</w:t>
      </w:r>
      <w:r>
        <w:rPr>
          <w:szCs w:val="28"/>
        </w:rPr>
        <w:t xml:space="preserve">йшетского горо</w:t>
      </w:r>
      <w:r>
        <w:rPr>
          <w:szCs w:val="28"/>
        </w:rPr>
        <w:t xml:space="preserve">д</w:t>
      </w:r>
      <w:r>
        <w:rPr>
          <w:szCs w:val="28"/>
        </w:rPr>
        <w:t xml:space="preserve">ского поселения </w:t>
      </w:r>
      <w:r>
        <w:rPr>
          <w:szCs w:val="28"/>
        </w:rPr>
        <w:t xml:space="preserve">за </w:t>
      </w:r>
      <w:r>
        <w:rPr>
          <w:szCs w:val="28"/>
        </w:rPr>
        <w:t xml:space="preserve">девять месяцев</w:t>
      </w:r>
      <w:r>
        <w:rPr>
          <w:szCs w:val="28"/>
        </w:rPr>
        <w:t xml:space="preserve"> </w:t>
      </w:r>
      <w:r>
        <w:rPr>
          <w:szCs w:val="28"/>
        </w:rPr>
        <w:t xml:space="preserve">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года, руководствуясь Федеральным законом от 06</w:t>
      </w:r>
      <w:r>
        <w:rPr>
          <w:szCs w:val="28"/>
        </w:rPr>
        <w:t xml:space="preserve"> октября </w:t>
      </w:r>
      <w:r>
        <w:rPr>
          <w:szCs w:val="28"/>
        </w:rPr>
        <w:t xml:space="preserve">2003 года №131-ФЗ « Об общих принципах организ</w:t>
      </w:r>
      <w:r>
        <w:rPr>
          <w:szCs w:val="28"/>
        </w:rPr>
        <w:t xml:space="preserve">а</w:t>
      </w:r>
      <w:r>
        <w:rPr>
          <w:szCs w:val="28"/>
        </w:rPr>
        <w:t xml:space="preserve">ции местного самоуправления в Российской Федерации», Бюджетным К</w:t>
      </w:r>
      <w:r>
        <w:rPr>
          <w:szCs w:val="28"/>
        </w:rPr>
        <w:t xml:space="preserve">о</w:t>
      </w:r>
      <w:r>
        <w:rPr>
          <w:szCs w:val="28"/>
        </w:rPr>
        <w:t xml:space="preserve">дексом Российско</w:t>
      </w:r>
      <w:r>
        <w:rPr>
          <w:szCs w:val="28"/>
        </w:rPr>
        <w:t xml:space="preserve">й Федерации, </w:t>
      </w:r>
      <w:r>
        <w:rPr>
          <w:szCs w:val="28"/>
        </w:rPr>
        <w:t xml:space="preserve">статьями </w:t>
      </w:r>
      <w:r>
        <w:rPr>
          <w:szCs w:val="28"/>
        </w:rPr>
        <w:t xml:space="preserve"> </w:t>
      </w:r>
      <w:r>
        <w:rPr>
          <w:szCs w:val="28"/>
        </w:rPr>
        <w:t xml:space="preserve">31,57,58,63 </w:t>
      </w:r>
      <w:r>
        <w:rPr>
          <w:szCs w:val="28"/>
        </w:rPr>
        <w:t xml:space="preserve">Устава Тайшетского муниц</w:t>
      </w:r>
      <w:r>
        <w:rPr>
          <w:szCs w:val="28"/>
        </w:rPr>
        <w:t xml:space="preserve">и</w:t>
      </w:r>
      <w:r>
        <w:rPr>
          <w:szCs w:val="28"/>
        </w:rPr>
        <w:t xml:space="preserve">пального образования «Тайшет</w:t>
      </w:r>
      <w:r>
        <w:rPr>
          <w:szCs w:val="28"/>
        </w:rPr>
        <w:t xml:space="preserve">ское городское поселение»,</w:t>
      </w:r>
      <w:r>
        <w:rPr>
          <w:szCs w:val="28"/>
        </w:rPr>
        <w:t xml:space="preserve"> </w:t>
      </w:r>
      <w:r>
        <w:rPr>
          <w:szCs w:val="28"/>
        </w:rPr>
        <w:t xml:space="preserve">ст</w:t>
      </w:r>
      <w:r>
        <w:rPr>
          <w:szCs w:val="28"/>
        </w:rPr>
        <w:t xml:space="preserve">атьей  </w:t>
      </w:r>
      <w:r>
        <w:rPr>
          <w:szCs w:val="28"/>
        </w:rPr>
        <w:t xml:space="preserve">22</w:t>
      </w:r>
      <w:r>
        <w:rPr>
          <w:szCs w:val="28"/>
        </w:rPr>
        <w:t xml:space="preserve"> Положения « О бюджетном процессе в Тайшетском муниципальном обр</w:t>
      </w:r>
      <w:r>
        <w:rPr>
          <w:szCs w:val="28"/>
        </w:rPr>
        <w:t xml:space="preserve">а</w:t>
      </w:r>
      <w:r>
        <w:rPr>
          <w:szCs w:val="28"/>
        </w:rPr>
        <w:t xml:space="preserve">зовании «Тайшетское городское поселение», </w:t>
      </w:r>
      <w:r>
        <w:rPr>
          <w:szCs w:val="28"/>
        </w:rPr>
        <w:t xml:space="preserve"> </w:t>
      </w:r>
      <w:r>
        <w:rPr>
          <w:szCs w:val="28"/>
        </w:rPr>
        <w:t xml:space="preserve">утвержденного решением Д</w:t>
      </w:r>
      <w:r>
        <w:rPr>
          <w:szCs w:val="28"/>
        </w:rPr>
        <w:t xml:space="preserve">у</w:t>
      </w:r>
      <w:r>
        <w:rPr>
          <w:szCs w:val="28"/>
        </w:rPr>
        <w:t xml:space="preserve">мы Тайшетского городского поселения от 2</w:t>
      </w:r>
      <w:r>
        <w:rPr>
          <w:szCs w:val="28"/>
        </w:rPr>
        <w:t xml:space="preserve">8</w:t>
      </w:r>
      <w:r>
        <w:rPr>
          <w:szCs w:val="28"/>
        </w:rPr>
        <w:t xml:space="preserve"> </w:t>
      </w:r>
      <w:r>
        <w:rPr>
          <w:szCs w:val="28"/>
        </w:rPr>
        <w:t xml:space="preserve">мая</w:t>
      </w:r>
      <w:r>
        <w:rPr>
          <w:szCs w:val="28"/>
        </w:rPr>
        <w:t xml:space="preserve"> </w:t>
      </w:r>
      <w:r>
        <w:rPr>
          <w:szCs w:val="28"/>
        </w:rPr>
        <w:t xml:space="preserve">20</w:t>
      </w:r>
      <w:r>
        <w:rPr>
          <w:szCs w:val="28"/>
        </w:rPr>
        <w:t xml:space="preserve">21</w:t>
      </w:r>
      <w:r>
        <w:rPr>
          <w:szCs w:val="28"/>
        </w:rPr>
        <w:t xml:space="preserve"> года №</w:t>
      </w:r>
      <w:r>
        <w:rPr>
          <w:szCs w:val="28"/>
        </w:rPr>
        <w:t xml:space="preserve">226</w:t>
      </w:r>
      <w:r>
        <w:rPr>
          <w:szCs w:val="28"/>
        </w:rPr>
        <w:t xml:space="preserve">,  Дума Тайшетского городского посел</w:t>
      </w:r>
      <w:r>
        <w:rPr>
          <w:szCs w:val="28"/>
        </w:rPr>
        <w:t xml:space="preserve">е</w:t>
      </w:r>
      <w:r>
        <w:rPr>
          <w:szCs w:val="28"/>
        </w:rPr>
        <w:t xml:space="preserve">ния,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0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b/>
          <w:szCs w:val="28"/>
        </w:rPr>
      </w:pPr>
      <w:r>
        <w:rPr>
          <w:b/>
          <w:szCs w:val="28"/>
        </w:rPr>
        <w:t xml:space="preserve">РЕШИЛА: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Принять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сведению отчет</w:t>
      </w:r>
      <w:r>
        <w:rPr>
          <w:sz w:val="28"/>
          <w:szCs w:val="28"/>
        </w:rPr>
        <w:t xml:space="preserve"> об исполнении бюджета Тайшетского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родского поселения за </w:t>
      </w:r>
      <w:r>
        <w:rPr>
          <w:sz w:val="28"/>
          <w:szCs w:val="28"/>
        </w:rPr>
        <w:t xml:space="preserve">девять месяцев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утвержденный постановл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нием администрации Тайшет</w:t>
      </w:r>
      <w:r>
        <w:rPr>
          <w:sz w:val="28"/>
          <w:szCs w:val="28"/>
        </w:rPr>
        <w:t xml:space="preserve">ского городского поселения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 октября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917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отчета об исполнении бюджета Тайшетского горо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ского поселения за </w:t>
      </w:r>
      <w:r>
        <w:rPr>
          <w:sz w:val="28"/>
          <w:szCs w:val="28"/>
        </w:rPr>
        <w:t xml:space="preserve">девять месяцев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ложение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.Администрации Тайшетского городского поселения обеспечить опубликование настоящего решения Думы Тайшетского городского посел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ния в официальных средствах ма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8"/>
        <w:jc w:val="both"/>
      </w:pPr>
      <w:r>
        <w:t xml:space="preserve">Председатель Думы Тайшетского</w:t>
      </w:r>
      <w:r/>
    </w:p>
    <w:p>
      <w:pPr>
        <w:pStyle w:val="870"/>
        <w:ind w:firstLine="708"/>
        <w:jc w:val="both"/>
      </w:pPr>
      <w:r>
        <w:t xml:space="preserve">муниципального образования</w:t>
      </w:r>
      <w:r/>
    </w:p>
    <w:p>
      <w:pPr>
        <w:pStyle w:val="870"/>
        <w:ind w:firstLine="708"/>
        <w:jc w:val="both"/>
      </w:pPr>
      <w:r>
        <w:t xml:space="preserve">«Тайшетское городское поселение»</w:t>
      </w:r>
      <w:r>
        <w:tab/>
        <w:tab/>
        <w:tab/>
      </w:r>
      <w:r>
        <w:t xml:space="preserve">П.В.Терещенко</w:t>
      </w:r>
      <w:r>
        <w:tab/>
      </w:r>
      <w:r>
        <w:rPr>
          <w:sz w:val="28"/>
          <w:szCs w:val="28"/>
        </w:rPr>
        <w:tab/>
      </w:r>
      <w:r>
        <w:rPr>
          <w:szCs w:val="28"/>
        </w:rPr>
        <w:t xml:space="preserve">       </w:t>
      </w:r>
      <w:r>
        <w:rPr>
          <w:szCs w:val="28"/>
        </w:rPr>
        <w:t xml:space="preserve">И.о.главы</w:t>
      </w:r>
      <w:r>
        <w:rPr>
          <w:szCs w:val="28"/>
        </w:rPr>
        <w:t xml:space="preserve"> Тайшетского муниципального </w:t>
      </w:r>
      <w:r/>
    </w:p>
    <w:p>
      <w:pPr>
        <w:pStyle w:val="874"/>
        <w:rPr>
          <w:szCs w:val="28"/>
        </w:rPr>
      </w:pPr>
      <w:r>
        <w:rPr>
          <w:szCs w:val="28"/>
        </w:rPr>
        <w:t xml:space="preserve">образования</w:t>
      </w:r>
      <w:r>
        <w:rPr>
          <w:szCs w:val="28"/>
        </w:rPr>
        <w:t xml:space="preserve">       </w:t>
      </w:r>
      <w:r>
        <w:rPr>
          <w:sz w:val="24"/>
          <w:szCs w:val="24"/>
        </w:rPr>
        <w:t xml:space="preserve">«Тайшетское городское поселение»</w:t>
        <w:tab/>
      </w:r>
      <w:r>
        <w:rPr>
          <w:sz w:val="24"/>
          <w:szCs w:val="24"/>
        </w:rPr>
        <w:tab/>
      </w:r>
      <w:r>
        <w:rPr>
          <w:szCs w:val="28"/>
        </w:rPr>
        <w:t xml:space="preserve">В.В.Захарич</w:t>
      </w:r>
      <w:r>
        <w:rPr>
          <w:szCs w:val="28"/>
        </w:rPr>
        <w:tab/>
      </w:r>
      <w:r>
        <w:rPr>
          <w:szCs w:val="28"/>
        </w:rPr>
        <w:t xml:space="preserve">      </w:t>
      </w: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исполнении бюджета Тайшетского городского поселения за </w:t>
      </w:r>
      <w:r>
        <w:rPr>
          <w:sz w:val="24"/>
          <w:szCs w:val="24"/>
        </w:rPr>
        <w:t xml:space="preserve">девять мес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цев </w:t>
      </w:r>
      <w:r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Бюджет</w:t>
      </w:r>
      <w:r>
        <w:rPr>
          <w:sz w:val="24"/>
          <w:szCs w:val="24"/>
        </w:rPr>
        <w:t xml:space="preserve"> Тайшетского городского поселения за </w:t>
      </w:r>
      <w:r>
        <w:rPr>
          <w:sz w:val="24"/>
          <w:szCs w:val="24"/>
        </w:rPr>
        <w:t xml:space="preserve">9 месяцев</w:t>
      </w:r>
      <w:r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и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полнен по доходам в сумме </w:t>
      </w:r>
      <w:r>
        <w:rPr>
          <w:sz w:val="24"/>
          <w:szCs w:val="24"/>
        </w:rPr>
        <w:t xml:space="preserve">303296,8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при утвержденном бюджете на год в сумме </w:t>
      </w:r>
      <w:r>
        <w:rPr>
          <w:sz w:val="24"/>
          <w:szCs w:val="24"/>
        </w:rPr>
        <w:t xml:space="preserve">375175,4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, или </w:t>
      </w:r>
      <w:r>
        <w:rPr>
          <w:sz w:val="24"/>
          <w:szCs w:val="24"/>
        </w:rPr>
        <w:t xml:space="preserve">80,8</w:t>
      </w:r>
      <w:r>
        <w:rPr>
          <w:sz w:val="24"/>
          <w:szCs w:val="24"/>
        </w:rPr>
        <w:t xml:space="preserve"> %.  По собственным источникам д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ходов исполнение составило </w:t>
      </w:r>
      <w:r>
        <w:rPr>
          <w:sz w:val="24"/>
          <w:szCs w:val="24"/>
        </w:rPr>
        <w:t xml:space="preserve">132630,4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при плане на год  </w:t>
      </w:r>
      <w:r>
        <w:rPr>
          <w:sz w:val="24"/>
          <w:szCs w:val="24"/>
        </w:rPr>
        <w:t xml:space="preserve">191005,9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, или </w:t>
      </w:r>
      <w:r>
        <w:rPr>
          <w:sz w:val="24"/>
          <w:szCs w:val="24"/>
        </w:rPr>
        <w:t xml:space="preserve">69,4</w:t>
      </w:r>
      <w:r>
        <w:rPr>
          <w:sz w:val="24"/>
          <w:szCs w:val="24"/>
        </w:rPr>
        <w:t xml:space="preserve"> 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Динамика  роста поступления  доходов в местный бюджет  в  сравн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нии с   202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годом по кварталам:</w:t>
        <w:tab/>
        <w:tab/>
        <w:tab/>
        <w:tab/>
        <w:tab/>
        <w:tab/>
        <w:tab/>
        <w:t xml:space="preserve">т.руб.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78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242"/>
        <w:gridCol w:w="1873"/>
        <w:gridCol w:w="1873"/>
        <w:gridCol w:w="1883"/>
        <w:gridCol w:w="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кварталы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в % к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 квартал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31447,8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36122,8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114,9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2 квартал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36853,4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41318,3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 квартал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42280,9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55189,3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130,5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итого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110582,1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132630,4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119,9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74"/>
        <w:ind w:firstLine="708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74"/>
        <w:ind w:firstLine="708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74"/>
        <w:ind w:firstLine="708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В сравнении с аналогичным периодом прошлого года доходная часть местного бюджета   по собственным источникам доходов </w:t>
      </w:r>
      <w:r>
        <w:rPr>
          <w:sz w:val="24"/>
          <w:szCs w:val="24"/>
        </w:rPr>
        <w:t xml:space="preserve">перевыполнена  на  </w:t>
      </w:r>
      <w:r>
        <w:rPr>
          <w:sz w:val="24"/>
          <w:szCs w:val="24"/>
        </w:rPr>
        <w:t xml:space="preserve">22048,3 </w:t>
      </w:r>
      <w:r>
        <w:rPr>
          <w:sz w:val="24"/>
          <w:szCs w:val="24"/>
        </w:rPr>
        <w:t xml:space="preserve">тыс.руб. и составляет </w:t>
      </w:r>
      <w:r>
        <w:rPr>
          <w:sz w:val="24"/>
          <w:szCs w:val="24"/>
        </w:rPr>
        <w:t xml:space="preserve">119,9</w:t>
      </w:r>
      <w:r>
        <w:rPr>
          <w:sz w:val="24"/>
          <w:szCs w:val="24"/>
        </w:rPr>
        <w:t xml:space="preserve"> % от прошлого периода. </w:t>
      </w:r>
      <w:r>
        <w:rPr>
          <w:sz w:val="24"/>
          <w:szCs w:val="24"/>
        </w:rPr>
        <w:t xml:space="preserve">Перевыполн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ние сложилось по следующим доходам:</w:t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-НДФЛ</w:t>
      </w:r>
      <w:r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 xml:space="preserve">6192,0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-акцизы в сумме </w:t>
      </w:r>
      <w:r>
        <w:rPr>
          <w:sz w:val="24"/>
          <w:szCs w:val="24"/>
        </w:rPr>
        <w:t xml:space="preserve">484,8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-доходы от использования мун.имущества в сумме </w:t>
      </w:r>
      <w:r>
        <w:rPr>
          <w:sz w:val="24"/>
          <w:szCs w:val="24"/>
        </w:rPr>
        <w:t xml:space="preserve"> 355,8 </w:t>
      </w:r>
      <w:r>
        <w:rPr>
          <w:sz w:val="24"/>
          <w:szCs w:val="24"/>
        </w:rPr>
        <w:t xml:space="preserve">тыс.руб.;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-налог на имущество физических лиц в сумме </w:t>
      </w:r>
      <w:r>
        <w:rPr>
          <w:sz w:val="24"/>
          <w:szCs w:val="24"/>
        </w:rPr>
        <w:t xml:space="preserve">4231,8</w:t>
      </w:r>
      <w:r>
        <w:rPr>
          <w:sz w:val="24"/>
          <w:szCs w:val="24"/>
        </w:rPr>
        <w:t xml:space="preserve"> тыс.руб.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-земельный налог в сумме 2107,4 тыс.руб.;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-доходы от р</w:t>
      </w:r>
      <w:r>
        <w:rPr>
          <w:sz w:val="24"/>
          <w:szCs w:val="24"/>
        </w:rPr>
        <w:t xml:space="preserve">еализации имущества в сумме </w:t>
      </w:r>
      <w:r>
        <w:rPr>
          <w:sz w:val="24"/>
          <w:szCs w:val="24"/>
        </w:rPr>
        <w:t xml:space="preserve">3262,1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-штрафы, возмещение ущерба в сумме </w:t>
      </w:r>
      <w:r>
        <w:rPr>
          <w:sz w:val="24"/>
          <w:szCs w:val="24"/>
        </w:rPr>
        <w:t xml:space="preserve">978,3 </w:t>
      </w:r>
      <w:r>
        <w:rPr>
          <w:sz w:val="24"/>
          <w:szCs w:val="24"/>
        </w:rPr>
        <w:t xml:space="preserve">тыс.руб;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-прочие неналоговые доходы в сумме </w:t>
      </w:r>
      <w:r>
        <w:rPr>
          <w:sz w:val="24"/>
          <w:szCs w:val="24"/>
        </w:rPr>
        <w:t xml:space="preserve">7131,7 </w:t>
      </w:r>
      <w:r>
        <w:rPr>
          <w:sz w:val="24"/>
          <w:szCs w:val="24"/>
        </w:rPr>
        <w:t xml:space="preserve">тыс.руб.</w:t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 в то же время по некоторым доходам наблюдается снижение п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ступлений. В том числе:</w:t>
      </w:r>
      <w:r>
        <w:rPr>
          <w:sz w:val="24"/>
          <w:szCs w:val="24"/>
        </w:rPr>
      </w:r>
    </w:p>
    <w:tbl>
      <w:tblPr>
        <w:tblW w:w="7475" w:type="dxa"/>
        <w:tblInd w:w="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58"/>
      </w:tblGrid>
      <w:tr>
        <w:tblPrEx/>
        <w:trPr>
          <w:trHeight w:val="611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658" w:type="dxa"/>
            <w:vAlign w:val="center"/>
            <w:textDirection w:val="lrTb"/>
            <w:noWrap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-доходы </w:t>
            </w:r>
            <w:r>
              <w:rPr>
                <w:sz w:val="24"/>
                <w:szCs w:val="24"/>
              </w:rPr>
              <w:t xml:space="preserve">от платных усдуг</w:t>
            </w:r>
            <w:r>
              <w:rPr>
                <w:sz w:val="24"/>
                <w:szCs w:val="24"/>
              </w:rPr>
              <w:t xml:space="preserve"> в сумме -</w:t>
            </w:r>
            <w:r>
              <w:rPr>
                <w:sz w:val="24"/>
                <w:szCs w:val="24"/>
              </w:rPr>
              <w:t xml:space="preserve">2695,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тыс.руб.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Поступили следующие  налоги: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т.руб.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961"/>
        <w:gridCol w:w="1134"/>
        <w:gridCol w:w="1276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НДФЛ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101097,0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73804,7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/>
        </w:trPr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совокупный доход (сельск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хозяйственный налог)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0,3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Налоги на имущество</w:t>
            </w:r>
            <w:r>
              <w:rPr>
                <w:sz w:val="24"/>
                <w:szCs w:val="24"/>
              </w:rPr>
              <w:t xml:space="preserve">,в т.ч.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45352,1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21821,3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48,1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физ.лиц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18900,0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7323,2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38,7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26452,1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14498,1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54,8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Акцизы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17673,8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12001,2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67,9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использования имущества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12726,5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10683,9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84,0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оказания платных услуг и компенсации 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трат государства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2576,7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1697,8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65,9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продажи </w:t>
            </w:r>
            <w:r>
              <w:rPr>
                <w:sz w:val="24"/>
                <w:szCs w:val="24"/>
              </w:rPr>
              <w:t xml:space="preserve"> материальных и нематериальных </w:t>
            </w:r>
            <w:r>
              <w:rPr>
                <w:sz w:val="24"/>
                <w:szCs w:val="24"/>
              </w:rPr>
              <w:t xml:space="preserve">активов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3624,7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3596,6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99,2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Штрафы, возмещение ущерба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955,1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1431,1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149,8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</w:t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7000,0</w:t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7593,5</w:t>
            </w:r>
            <w:r>
              <w:rPr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108,5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961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собственных доходов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191005,9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132630,4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69,4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tbl>
      <w:tblPr>
        <w:tblW w:w="8220" w:type="dxa"/>
        <w:tblInd w:w="9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80"/>
        <w:gridCol w:w="1300"/>
        <w:gridCol w:w="1220"/>
        <w:gridCol w:w="1520"/>
      </w:tblGrid>
      <w:tr>
        <w:tblPrEx/>
        <w:trPr>
          <w:trHeight w:val="285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180" w:type="dxa"/>
            <w:vAlign w:val="center"/>
            <w:textDirection w:val="lrTb"/>
            <w:noWrap/>
          </w:tcPr>
          <w:p>
            <w:pPr>
              <w:pStyle w:val="87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0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2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2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безвозмездным поступлениям исполнение составило </w:t>
      </w:r>
      <w:r>
        <w:rPr>
          <w:sz w:val="24"/>
          <w:szCs w:val="24"/>
        </w:rPr>
        <w:t xml:space="preserve">170666,4 т</w:t>
      </w:r>
      <w:r>
        <w:rPr>
          <w:sz w:val="24"/>
          <w:szCs w:val="24"/>
        </w:rPr>
        <w:t xml:space="preserve">.руб.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утвержденном    бюджете на год в объеме </w:t>
      </w:r>
      <w:r>
        <w:rPr>
          <w:sz w:val="24"/>
          <w:szCs w:val="24"/>
        </w:rPr>
        <w:t xml:space="preserve">184169,5</w:t>
      </w:r>
      <w:r>
        <w:rPr>
          <w:sz w:val="24"/>
          <w:szCs w:val="24"/>
        </w:rPr>
        <w:t xml:space="preserve">  тыс.руб. или  </w:t>
      </w:r>
      <w:r>
        <w:rPr>
          <w:sz w:val="24"/>
          <w:szCs w:val="24"/>
        </w:rPr>
        <w:t xml:space="preserve">92,7</w:t>
      </w:r>
      <w:r>
        <w:rPr>
          <w:sz w:val="24"/>
          <w:szCs w:val="24"/>
        </w:rPr>
        <w:t xml:space="preserve">  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ind w:firstLine="708"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ind w:firstLine="708"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pStyle w:val="870"/>
        <w:ind w:firstLine="708"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РАСХОДЫ</w:t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7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Расходная часть  местного бюджета исполнена в сумме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302119,1</w:t>
      </w:r>
      <w:r>
        <w:rPr>
          <w:sz w:val="24"/>
          <w:szCs w:val="24"/>
        </w:rPr>
        <w:t xml:space="preserve"> тыс.руб. при утвержденном бюджете на год  </w:t>
      </w:r>
      <w:r>
        <w:rPr>
          <w:sz w:val="24"/>
          <w:szCs w:val="24"/>
        </w:rPr>
        <w:t xml:space="preserve">407067,4</w:t>
      </w:r>
      <w:r>
        <w:rPr>
          <w:sz w:val="24"/>
          <w:szCs w:val="24"/>
        </w:rPr>
        <w:t xml:space="preserve">  тыс.руб. или </w:t>
      </w:r>
      <w:r>
        <w:rPr>
          <w:sz w:val="24"/>
          <w:szCs w:val="24"/>
        </w:rPr>
        <w:t xml:space="preserve">74,2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течение </w:t>
      </w:r>
      <w:r>
        <w:rPr>
          <w:sz w:val="24"/>
          <w:szCs w:val="24"/>
        </w:rPr>
        <w:t xml:space="preserve">отчетного периода</w:t>
      </w:r>
      <w:r>
        <w:rPr>
          <w:sz w:val="24"/>
          <w:szCs w:val="24"/>
        </w:rPr>
        <w:t xml:space="preserve"> профинансированы </w:t>
      </w:r>
      <w:r>
        <w:rPr>
          <w:sz w:val="24"/>
          <w:szCs w:val="24"/>
        </w:rPr>
        <w:t xml:space="preserve">следующие расходы, предус</w:t>
      </w:r>
      <w:r>
        <w:rPr>
          <w:sz w:val="24"/>
          <w:szCs w:val="24"/>
        </w:rPr>
        <w:t xml:space="preserve">мотренные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местн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м бюджет</w:t>
      </w:r>
      <w:r>
        <w:rPr>
          <w:sz w:val="24"/>
          <w:szCs w:val="24"/>
        </w:rPr>
        <w:t xml:space="preserve">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01 «Общегосударственные вопросы»</w:t>
      </w:r>
      <w:r>
        <w:rPr>
          <w:sz w:val="24"/>
          <w:szCs w:val="24"/>
        </w:rPr>
        <w:t xml:space="preserve"> исполнение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дов составило </w:t>
      </w:r>
      <w:r>
        <w:rPr>
          <w:sz w:val="24"/>
          <w:szCs w:val="24"/>
        </w:rPr>
        <w:t xml:space="preserve">69735,7</w:t>
      </w:r>
      <w:r>
        <w:rPr>
          <w:sz w:val="24"/>
          <w:szCs w:val="24"/>
        </w:rPr>
        <w:t xml:space="preserve"> т.руб. при утв</w:t>
      </w:r>
      <w:r>
        <w:rPr>
          <w:sz w:val="24"/>
          <w:szCs w:val="24"/>
        </w:rPr>
        <w:t xml:space="preserve">ержденном бюджете на год </w:t>
      </w:r>
      <w:r>
        <w:rPr>
          <w:sz w:val="24"/>
          <w:szCs w:val="24"/>
        </w:rPr>
        <w:t xml:space="preserve">104301,5</w:t>
      </w:r>
      <w:r>
        <w:rPr>
          <w:sz w:val="24"/>
          <w:szCs w:val="24"/>
        </w:rPr>
        <w:t xml:space="preserve"> тыс.руб. или на </w:t>
      </w:r>
      <w:r>
        <w:rPr>
          <w:sz w:val="24"/>
          <w:szCs w:val="24"/>
        </w:rPr>
        <w:t xml:space="preserve">66,9</w:t>
      </w:r>
      <w:r>
        <w:rPr>
          <w:sz w:val="24"/>
          <w:szCs w:val="24"/>
        </w:rPr>
        <w:t xml:space="preserve">%, т.ч по ф</w:t>
      </w:r>
      <w:r>
        <w:rPr>
          <w:sz w:val="24"/>
          <w:szCs w:val="24"/>
        </w:rPr>
        <w:t xml:space="preserve">онд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оплаты труда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58597,5</w:t>
      </w:r>
      <w:r>
        <w:rPr>
          <w:sz w:val="24"/>
          <w:szCs w:val="24"/>
        </w:rPr>
        <w:t xml:space="preserve"> т.руб. или </w:t>
      </w:r>
      <w:r>
        <w:rPr>
          <w:sz w:val="24"/>
          <w:szCs w:val="24"/>
        </w:rPr>
        <w:t xml:space="preserve">67,8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03 «Национальная безопасность и правоохранительная деятельность»</w:t>
      </w:r>
      <w:r>
        <w:rPr>
          <w:sz w:val="24"/>
          <w:szCs w:val="24"/>
        </w:rPr>
        <w:t xml:space="preserve"> исполнения нет.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04 «Национальная экономика»</w:t>
      </w:r>
      <w:r>
        <w:rPr>
          <w:sz w:val="24"/>
          <w:szCs w:val="24"/>
        </w:rPr>
        <w:t xml:space="preserve"> профинансированы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ды на </w:t>
      </w:r>
      <w:r>
        <w:rPr>
          <w:sz w:val="24"/>
          <w:szCs w:val="24"/>
        </w:rPr>
        <w:t xml:space="preserve">83,3</w:t>
      </w:r>
      <w:r>
        <w:rPr>
          <w:sz w:val="24"/>
          <w:szCs w:val="24"/>
        </w:rPr>
        <w:t xml:space="preserve">% при плане на год </w:t>
      </w:r>
      <w:r>
        <w:rPr>
          <w:sz w:val="24"/>
          <w:szCs w:val="24"/>
        </w:rPr>
        <w:t xml:space="preserve">164455,8</w:t>
      </w:r>
      <w:r>
        <w:rPr>
          <w:sz w:val="24"/>
          <w:szCs w:val="24"/>
        </w:rPr>
        <w:t xml:space="preserve"> тыс.руб. исполнено </w:t>
      </w:r>
      <w:r>
        <w:rPr>
          <w:sz w:val="24"/>
          <w:szCs w:val="24"/>
        </w:rPr>
        <w:t xml:space="preserve">136911,8</w:t>
      </w:r>
      <w:r>
        <w:rPr>
          <w:sz w:val="24"/>
          <w:szCs w:val="24"/>
        </w:rPr>
        <w:t xml:space="preserve"> тыс.руб., направлено в том числе: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переданные госполномочия по тарифам коммунального комплекса </w:t>
      </w:r>
      <w:r>
        <w:rPr>
          <w:sz w:val="24"/>
          <w:szCs w:val="24"/>
        </w:rPr>
        <w:t xml:space="preserve">161,0</w:t>
      </w:r>
      <w:r>
        <w:rPr>
          <w:sz w:val="24"/>
          <w:szCs w:val="24"/>
        </w:rPr>
        <w:t xml:space="preserve"> т.руб. или </w:t>
      </w:r>
      <w:r>
        <w:rPr>
          <w:sz w:val="24"/>
          <w:szCs w:val="24"/>
        </w:rPr>
        <w:t xml:space="preserve">66,7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-на </w:t>
      </w:r>
      <w:r>
        <w:rPr>
          <w:sz w:val="24"/>
          <w:szCs w:val="24"/>
        </w:rPr>
        <w:t xml:space="preserve">лесное хозяйство</w:t>
      </w:r>
      <w:r>
        <w:rPr>
          <w:sz w:val="24"/>
          <w:szCs w:val="24"/>
        </w:rPr>
        <w:t xml:space="preserve"> направлено </w:t>
      </w:r>
      <w:r>
        <w:rPr>
          <w:sz w:val="24"/>
          <w:szCs w:val="24"/>
        </w:rPr>
        <w:t xml:space="preserve">499,7</w:t>
      </w:r>
      <w:r>
        <w:rPr>
          <w:sz w:val="24"/>
          <w:szCs w:val="24"/>
        </w:rPr>
        <w:t xml:space="preserve"> тыс.руб.или </w:t>
      </w:r>
      <w:r>
        <w:rPr>
          <w:sz w:val="24"/>
          <w:szCs w:val="24"/>
        </w:rPr>
        <w:t xml:space="preserve">52,9</w:t>
      </w:r>
      <w:r>
        <w:rPr>
          <w:sz w:val="24"/>
          <w:szCs w:val="24"/>
        </w:rPr>
        <w:t xml:space="preserve">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-содержание диспетчерских пунктов  и услуги перевозок по мун</w:t>
      </w:r>
      <w:r>
        <w:rPr>
          <w:sz w:val="24"/>
          <w:szCs w:val="24"/>
        </w:rPr>
        <w:t xml:space="preserve">иц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пальному</w:t>
      </w:r>
      <w:r>
        <w:rPr>
          <w:sz w:val="24"/>
          <w:szCs w:val="24"/>
        </w:rPr>
        <w:t xml:space="preserve"> маршруту </w:t>
      </w:r>
      <w:r>
        <w:rPr>
          <w:sz w:val="24"/>
          <w:szCs w:val="24"/>
        </w:rPr>
        <w:t xml:space="preserve">2017,9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66,2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-на дорожное хозяйство </w:t>
      </w:r>
      <w:r>
        <w:rPr>
          <w:sz w:val="24"/>
          <w:szCs w:val="24"/>
        </w:rPr>
        <w:t xml:space="preserve">133226,5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84,6</w:t>
      </w:r>
      <w:r>
        <w:rPr>
          <w:sz w:val="24"/>
          <w:szCs w:val="24"/>
        </w:rPr>
        <w:t xml:space="preserve">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дорожному хозяйству профинансированы следующие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-выполнение работ по муниципальному заданию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22805,8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-в рамках перечня проектов народных инициатив </w:t>
      </w:r>
      <w:r>
        <w:rPr>
          <w:sz w:val="24"/>
          <w:szCs w:val="24"/>
        </w:rPr>
        <w:t xml:space="preserve">14014,1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-в рамках реализации инициативных проектов </w:t>
      </w:r>
      <w:r>
        <w:rPr>
          <w:sz w:val="24"/>
          <w:szCs w:val="24"/>
        </w:rPr>
        <w:t xml:space="preserve">25000,0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рамках транспортного каркаса </w:t>
      </w:r>
      <w:r>
        <w:rPr>
          <w:sz w:val="24"/>
          <w:szCs w:val="24"/>
        </w:rPr>
        <w:t xml:space="preserve">в отношении</w:t>
      </w:r>
      <w:r>
        <w:rPr>
          <w:sz w:val="24"/>
          <w:szCs w:val="24"/>
        </w:rPr>
        <w:t xml:space="preserve"> автомобильных дорог</w:t>
      </w:r>
      <w:r>
        <w:rPr>
          <w:sz w:val="24"/>
          <w:szCs w:val="24"/>
        </w:rPr>
        <w:t xml:space="preserve"> местного значения 68928,3 тыс.руб.;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-содержание светофорных объектов, разметка автомобильных дорог, замена дорожных знаков </w:t>
      </w:r>
      <w:r>
        <w:rPr>
          <w:sz w:val="24"/>
          <w:szCs w:val="24"/>
        </w:rPr>
        <w:t xml:space="preserve">1882,5</w:t>
      </w:r>
      <w:r>
        <w:rPr>
          <w:sz w:val="24"/>
          <w:szCs w:val="24"/>
        </w:rPr>
        <w:t xml:space="preserve"> тыс.руб.;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оценка тех.состояния автомобильных дорог</w:t>
      </w:r>
      <w:r>
        <w:rPr>
          <w:sz w:val="24"/>
          <w:szCs w:val="24"/>
        </w:rPr>
        <w:t xml:space="preserve">, тех.присоединение св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тофорных объектов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595,8</w:t>
      </w:r>
      <w:r>
        <w:rPr>
          <w:sz w:val="24"/>
          <w:szCs w:val="24"/>
        </w:rPr>
        <w:t xml:space="preserve"> 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другие вопросы в обл</w:t>
      </w:r>
      <w:r>
        <w:rPr>
          <w:sz w:val="24"/>
          <w:szCs w:val="24"/>
        </w:rPr>
        <w:t xml:space="preserve">асти </w:t>
      </w:r>
      <w:r>
        <w:rPr>
          <w:sz w:val="24"/>
          <w:szCs w:val="24"/>
        </w:rPr>
        <w:t xml:space="preserve">нац.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экономики направлено </w:t>
      </w:r>
      <w:r>
        <w:rPr>
          <w:sz w:val="24"/>
          <w:szCs w:val="24"/>
        </w:rPr>
        <w:t xml:space="preserve">1006,4</w:t>
      </w:r>
      <w:r>
        <w:rPr>
          <w:sz w:val="24"/>
          <w:szCs w:val="24"/>
        </w:rPr>
        <w:t xml:space="preserve">  тыс.руб.или </w:t>
      </w:r>
      <w:r>
        <w:rPr>
          <w:sz w:val="24"/>
          <w:szCs w:val="24"/>
        </w:rPr>
        <w:t xml:space="preserve">35,9</w:t>
      </w:r>
      <w:r>
        <w:rPr>
          <w:sz w:val="24"/>
          <w:szCs w:val="24"/>
        </w:rPr>
        <w:t xml:space="preserve">%.(фин-е ДНД, обслуживание и ремонт </w:t>
      </w:r>
      <w:r>
        <w:rPr>
          <w:sz w:val="24"/>
          <w:szCs w:val="24"/>
        </w:rPr>
        <w:t xml:space="preserve">пожарных гидра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тов </w:t>
      </w:r>
      <w:r>
        <w:rPr>
          <w:sz w:val="24"/>
          <w:szCs w:val="24"/>
        </w:rPr>
        <w:t xml:space="preserve">,предоставление гранта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По разделу </w:t>
      </w:r>
      <w:r>
        <w:rPr>
          <w:b/>
          <w:color w:val="ff0000"/>
          <w:sz w:val="24"/>
          <w:szCs w:val="24"/>
        </w:rPr>
        <w:t xml:space="preserve">05</w:t>
      </w:r>
      <w:r>
        <w:rPr>
          <w:b/>
          <w:sz w:val="24"/>
          <w:szCs w:val="24"/>
        </w:rPr>
        <w:t xml:space="preserve"> «Жилищно-коммунальное хозяйство»</w:t>
      </w:r>
      <w:r>
        <w:rPr>
          <w:sz w:val="24"/>
          <w:szCs w:val="24"/>
        </w:rPr>
        <w:t xml:space="preserve"> в целом испо</w:t>
      </w:r>
      <w:r>
        <w:rPr>
          <w:sz w:val="24"/>
          <w:szCs w:val="24"/>
        </w:rPr>
        <w:t xml:space="preserve">л</w:t>
      </w:r>
      <w:r>
        <w:rPr>
          <w:sz w:val="24"/>
          <w:szCs w:val="24"/>
        </w:rPr>
        <w:t xml:space="preserve">нение </w:t>
      </w:r>
      <w:r>
        <w:rPr>
          <w:sz w:val="24"/>
          <w:szCs w:val="24"/>
        </w:rPr>
        <w:t xml:space="preserve">по расходам</w:t>
      </w:r>
      <w:r>
        <w:rPr>
          <w:sz w:val="24"/>
          <w:szCs w:val="24"/>
        </w:rPr>
        <w:t xml:space="preserve"> составило </w:t>
      </w:r>
      <w:r>
        <w:rPr>
          <w:sz w:val="24"/>
          <w:szCs w:val="24"/>
        </w:rPr>
        <w:t xml:space="preserve">25412,2</w:t>
      </w:r>
      <w:r>
        <w:rPr>
          <w:sz w:val="24"/>
          <w:szCs w:val="24"/>
        </w:rPr>
        <w:t xml:space="preserve"> тыс.руб. при утвержденном бюджете </w:t>
      </w:r>
      <w:r>
        <w:rPr>
          <w:sz w:val="24"/>
          <w:szCs w:val="24"/>
        </w:rPr>
        <w:t xml:space="preserve">41036,9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61,9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разрезе подразделов бюджетной классификации расходы исполн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подразделу </w:t>
      </w:r>
      <w:r>
        <w:rPr>
          <w:b/>
          <w:sz w:val="24"/>
          <w:szCs w:val="24"/>
        </w:rPr>
        <w:t xml:space="preserve">01 «Жилищное хозяйство»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утвержденном бюджете на текущий год в сумме </w:t>
      </w:r>
      <w:r>
        <w:rPr>
          <w:sz w:val="24"/>
          <w:szCs w:val="24"/>
        </w:rPr>
        <w:t xml:space="preserve">1792,5</w:t>
      </w:r>
      <w:r>
        <w:rPr>
          <w:sz w:val="24"/>
          <w:szCs w:val="24"/>
        </w:rPr>
        <w:t xml:space="preserve"> тыс.руб. исполнено </w:t>
      </w:r>
      <w:r>
        <w:rPr>
          <w:sz w:val="24"/>
          <w:szCs w:val="24"/>
        </w:rPr>
        <w:t xml:space="preserve">649,2</w:t>
      </w:r>
      <w:r>
        <w:rPr>
          <w:sz w:val="24"/>
          <w:szCs w:val="24"/>
        </w:rPr>
        <w:t xml:space="preserve"> т.руб.или </w:t>
      </w:r>
      <w:r>
        <w:rPr>
          <w:sz w:val="24"/>
          <w:szCs w:val="24"/>
        </w:rPr>
        <w:t xml:space="preserve">36,2</w:t>
      </w:r>
      <w:r>
        <w:rPr>
          <w:sz w:val="24"/>
          <w:szCs w:val="24"/>
        </w:rPr>
        <w:t xml:space="preserve">%. Расходы напра</w:t>
      </w:r>
      <w:r>
        <w:rPr>
          <w:sz w:val="24"/>
          <w:szCs w:val="24"/>
        </w:rPr>
        <w:t xml:space="preserve">влены на </w:t>
      </w:r>
      <w:r>
        <w:rPr>
          <w:sz w:val="24"/>
          <w:szCs w:val="24"/>
        </w:rPr>
        <w:t xml:space="preserve">взносы по кап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тальному ремонту МКД.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 подразделу </w:t>
      </w:r>
      <w:r>
        <w:rPr>
          <w:b/>
          <w:sz w:val="24"/>
          <w:szCs w:val="24"/>
        </w:rPr>
        <w:t xml:space="preserve">02 «Коммунальное хозяйство»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подразделу при плане на год </w:t>
      </w:r>
      <w:r>
        <w:rPr>
          <w:sz w:val="24"/>
          <w:szCs w:val="24"/>
        </w:rPr>
        <w:t xml:space="preserve">9505,4</w:t>
      </w:r>
      <w:r>
        <w:rPr>
          <w:sz w:val="24"/>
          <w:szCs w:val="24"/>
        </w:rPr>
        <w:t xml:space="preserve"> тыс.руб. исполнено </w:t>
      </w:r>
      <w:r>
        <w:rPr>
          <w:sz w:val="24"/>
          <w:szCs w:val="24"/>
        </w:rPr>
        <w:t xml:space="preserve">1149,1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12,1</w:t>
      </w:r>
      <w:r>
        <w:rPr>
          <w:sz w:val="24"/>
          <w:szCs w:val="24"/>
        </w:rPr>
        <w:t xml:space="preserve">%. Расходы направлены </w:t>
      </w:r>
      <w:r>
        <w:rPr>
          <w:sz w:val="24"/>
          <w:szCs w:val="24"/>
        </w:rPr>
        <w:t xml:space="preserve">на ремонт сетей теплосна</w:t>
      </w:r>
      <w:r>
        <w:rPr>
          <w:sz w:val="24"/>
          <w:szCs w:val="24"/>
        </w:rPr>
        <w:t xml:space="preserve">б</w:t>
      </w:r>
      <w:r>
        <w:rPr>
          <w:sz w:val="24"/>
          <w:szCs w:val="24"/>
        </w:rPr>
        <w:t xml:space="preserve">жения.</w:t>
      </w:r>
      <w:r>
        <w:rPr>
          <w:sz w:val="24"/>
          <w:szCs w:val="24"/>
        </w:rPr>
        <w:t xml:space="preserve"> Предусмотрено софинансирование на продолжение строительства напорного коллектора в сумме 5424,8 тыс.руб.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подразделу </w:t>
      </w:r>
      <w:r>
        <w:rPr>
          <w:b/>
          <w:sz w:val="24"/>
          <w:szCs w:val="24"/>
        </w:rPr>
        <w:t xml:space="preserve">03 «Благ</w:t>
      </w: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устройство»</w:t>
      </w:r>
      <w:r>
        <w:rPr>
          <w:sz w:val="24"/>
          <w:szCs w:val="24"/>
        </w:rPr>
        <w:t xml:space="preserve"> исполнение составило в сумме   </w:t>
      </w:r>
      <w:r>
        <w:rPr>
          <w:sz w:val="24"/>
          <w:szCs w:val="24"/>
        </w:rPr>
        <w:t xml:space="preserve">23613,9</w:t>
      </w:r>
      <w:r>
        <w:rPr>
          <w:sz w:val="24"/>
          <w:szCs w:val="24"/>
        </w:rPr>
        <w:t xml:space="preserve"> тыс.руб. при утвержде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ном бюджете </w:t>
      </w:r>
      <w:r>
        <w:rPr>
          <w:sz w:val="24"/>
          <w:szCs w:val="24"/>
        </w:rPr>
        <w:t xml:space="preserve">29739,0</w:t>
      </w:r>
      <w:r>
        <w:rPr>
          <w:sz w:val="24"/>
          <w:szCs w:val="24"/>
        </w:rPr>
        <w:t xml:space="preserve"> тыс.руб. или на </w:t>
      </w:r>
      <w:r>
        <w:rPr>
          <w:sz w:val="24"/>
          <w:szCs w:val="24"/>
        </w:rPr>
        <w:t xml:space="preserve">79,4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подразделу отражены следующие расходы: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содержание сетей уличного освещения, оплата за ул.освещение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2959,1т</w:t>
      </w:r>
      <w:r>
        <w:rPr>
          <w:sz w:val="24"/>
          <w:szCs w:val="24"/>
        </w:rPr>
        <w:t xml:space="preserve">.р)</w:t>
      </w:r>
      <w:r>
        <w:rPr>
          <w:sz w:val="24"/>
          <w:szCs w:val="24"/>
        </w:rPr>
        <w:t xml:space="preserve">,  содержание детских площадок, содержание мест захоронения, уборка несанкционированных свалок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3620,1т</w:t>
      </w:r>
      <w:r>
        <w:rPr>
          <w:sz w:val="24"/>
          <w:szCs w:val="24"/>
        </w:rPr>
        <w:t xml:space="preserve">.р)</w:t>
      </w:r>
      <w:r>
        <w:rPr>
          <w:sz w:val="24"/>
          <w:szCs w:val="24"/>
        </w:rPr>
        <w:t xml:space="preserve">,  благоустройство </w:t>
      </w:r>
      <w:r>
        <w:rPr>
          <w:sz w:val="24"/>
          <w:szCs w:val="24"/>
        </w:rPr>
        <w:t xml:space="preserve">общ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ственной территории</w:t>
      </w:r>
      <w:r>
        <w:rPr>
          <w:sz w:val="24"/>
          <w:szCs w:val="24"/>
        </w:rPr>
        <w:t xml:space="preserve">  в рамках реализации программы формирование совр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менной городской среды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5025,2т</w:t>
      </w:r>
      <w:r>
        <w:rPr>
          <w:sz w:val="24"/>
          <w:szCs w:val="24"/>
        </w:rPr>
        <w:t xml:space="preserve">.р),</w:t>
      </w:r>
      <w:r>
        <w:rPr>
          <w:sz w:val="24"/>
          <w:szCs w:val="24"/>
        </w:rPr>
        <w:t xml:space="preserve"> благоустройство дворовых территорий  в рамках реализации программы формирование современной городской ср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ды (10460,7т.р)</w:t>
      </w:r>
      <w:r>
        <w:rPr>
          <w:sz w:val="24"/>
          <w:szCs w:val="24"/>
        </w:rPr>
        <w:t xml:space="preserve">оплата исполнительного листа (796,8т.р),прочее благоустро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ство (752 </w:t>
      </w:r>
      <w:r>
        <w:rPr>
          <w:sz w:val="24"/>
          <w:szCs w:val="24"/>
        </w:rPr>
        <w:t xml:space="preserve">т.р)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06 подраздел</w:t>
      </w:r>
      <w:r>
        <w:rPr>
          <w:b/>
          <w:sz w:val="24"/>
          <w:szCs w:val="24"/>
        </w:rPr>
        <w:t xml:space="preserve">у</w:t>
      </w:r>
      <w:r>
        <w:rPr>
          <w:b/>
          <w:sz w:val="24"/>
          <w:szCs w:val="24"/>
        </w:rPr>
        <w:t xml:space="preserve"> 05 «Охрана окружающей среды»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</w:t>
      </w:r>
      <w:r>
        <w:rPr>
          <w:sz w:val="24"/>
          <w:szCs w:val="24"/>
        </w:rPr>
        <w:t xml:space="preserve"> утвержденном  бюджете на год 4177,3 тыс.рублей исполнено 2901,4 тыс.рублей или 69,5%.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07 подразделу 07 «Молодежная политика»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утве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жденном плане </w:t>
      </w:r>
      <w:r>
        <w:rPr>
          <w:sz w:val="24"/>
          <w:szCs w:val="24"/>
        </w:rPr>
        <w:t xml:space="preserve">430</w:t>
      </w:r>
      <w:r>
        <w:rPr>
          <w:sz w:val="24"/>
          <w:szCs w:val="24"/>
        </w:rPr>
        <w:t xml:space="preserve">,0 тыс.руб. </w:t>
      </w:r>
      <w:r>
        <w:rPr>
          <w:sz w:val="24"/>
          <w:szCs w:val="24"/>
        </w:rPr>
        <w:t xml:space="preserve">кассовые расходы 211,6 тыс.руб. или 49,2%.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разделу 08 подразделу 01 «Культура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в целом исполнение сост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вило </w:t>
      </w:r>
      <w:r>
        <w:rPr>
          <w:sz w:val="24"/>
          <w:szCs w:val="24"/>
        </w:rPr>
        <w:t xml:space="preserve">32795,8</w:t>
      </w:r>
      <w:r>
        <w:rPr>
          <w:sz w:val="24"/>
          <w:szCs w:val="24"/>
        </w:rPr>
        <w:t xml:space="preserve"> тыс.руб. при утвержденном бюджете на год </w:t>
      </w:r>
      <w:r>
        <w:rPr>
          <w:sz w:val="24"/>
          <w:szCs w:val="24"/>
        </w:rPr>
        <w:t xml:space="preserve">41481,3</w:t>
      </w:r>
      <w:r>
        <w:rPr>
          <w:sz w:val="24"/>
          <w:szCs w:val="24"/>
        </w:rPr>
        <w:t xml:space="preserve"> т.руб. или </w:t>
      </w:r>
      <w:r>
        <w:rPr>
          <w:sz w:val="24"/>
          <w:szCs w:val="24"/>
        </w:rPr>
        <w:t xml:space="preserve">79,1</w:t>
      </w:r>
      <w:r>
        <w:rPr>
          <w:sz w:val="24"/>
          <w:szCs w:val="24"/>
        </w:rPr>
        <w:t xml:space="preserve">%.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МКУ «Библиотечное объединение ТГП» расходы исполнены в об</w:t>
      </w:r>
      <w:r>
        <w:rPr>
          <w:sz w:val="24"/>
          <w:szCs w:val="24"/>
        </w:rPr>
        <w:t xml:space="preserve">ъ</w:t>
      </w:r>
      <w:r>
        <w:rPr>
          <w:sz w:val="24"/>
          <w:szCs w:val="24"/>
        </w:rPr>
        <w:t xml:space="preserve">еме </w:t>
      </w:r>
      <w:r>
        <w:rPr>
          <w:sz w:val="24"/>
          <w:szCs w:val="24"/>
        </w:rPr>
        <w:t xml:space="preserve">32010,1</w:t>
      </w:r>
      <w:r>
        <w:rPr>
          <w:sz w:val="24"/>
          <w:szCs w:val="24"/>
        </w:rPr>
        <w:t xml:space="preserve"> тыс.руб. при плане </w:t>
      </w:r>
      <w:r>
        <w:rPr>
          <w:sz w:val="24"/>
          <w:szCs w:val="24"/>
        </w:rPr>
        <w:t xml:space="preserve">39781,3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80,1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  <w:t xml:space="preserve"> В том числе н</w:t>
      </w:r>
      <w:r>
        <w:rPr>
          <w:sz w:val="24"/>
          <w:szCs w:val="24"/>
        </w:rPr>
        <w:t xml:space="preserve">аправле</w:t>
      </w:r>
      <w:r>
        <w:rPr>
          <w:sz w:val="24"/>
          <w:szCs w:val="24"/>
        </w:rPr>
        <w:t xml:space="preserve">но на заработную плату  </w:t>
      </w:r>
      <w:r>
        <w:rPr>
          <w:sz w:val="24"/>
          <w:szCs w:val="24"/>
        </w:rPr>
        <w:t xml:space="preserve">14193,7</w:t>
      </w:r>
      <w:r>
        <w:rPr>
          <w:sz w:val="24"/>
          <w:szCs w:val="24"/>
        </w:rPr>
        <w:t xml:space="preserve"> т.руб. при плане 18923,3 т.руб. или </w:t>
      </w:r>
      <w:r>
        <w:rPr>
          <w:sz w:val="24"/>
          <w:szCs w:val="24"/>
        </w:rPr>
        <w:t xml:space="preserve">75,0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  <w:t xml:space="preserve"> Расходы по субсидии на переоснащение муниципальных библиотек по модельному стандарту составили </w:t>
      </w:r>
      <w:r>
        <w:rPr>
          <w:sz w:val="24"/>
          <w:szCs w:val="24"/>
        </w:rPr>
        <w:t xml:space="preserve">15000,0 ты</w:t>
      </w:r>
      <w:r>
        <w:rPr>
          <w:sz w:val="24"/>
          <w:szCs w:val="24"/>
        </w:rPr>
        <w:t xml:space="preserve">с.руб.при плане 15000,0 тыс.руб.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проведение общегородских мероприятий направлено </w:t>
      </w:r>
      <w:r>
        <w:rPr>
          <w:sz w:val="24"/>
          <w:szCs w:val="24"/>
        </w:rPr>
        <w:t xml:space="preserve">785,7</w:t>
      </w:r>
      <w:r>
        <w:rPr>
          <w:sz w:val="24"/>
          <w:szCs w:val="24"/>
        </w:rPr>
        <w:t xml:space="preserve"> тыс.руб. при плане </w:t>
      </w:r>
      <w:r>
        <w:rPr>
          <w:sz w:val="24"/>
          <w:szCs w:val="24"/>
        </w:rPr>
        <w:t xml:space="preserve">1700,0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46,2</w:t>
      </w:r>
      <w:r>
        <w:rPr>
          <w:sz w:val="24"/>
          <w:szCs w:val="24"/>
        </w:rPr>
        <w:t xml:space="preserve">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10 «Социальная политика»</w:t>
      </w:r>
      <w:r>
        <w:rPr>
          <w:sz w:val="24"/>
          <w:szCs w:val="24"/>
        </w:rPr>
        <w:t xml:space="preserve"> исполнение расходов состав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ло </w:t>
      </w:r>
      <w:r>
        <w:rPr>
          <w:sz w:val="24"/>
          <w:szCs w:val="24"/>
        </w:rPr>
        <w:t xml:space="preserve">10415,9</w:t>
      </w:r>
      <w:r>
        <w:rPr>
          <w:sz w:val="24"/>
          <w:szCs w:val="24"/>
        </w:rPr>
        <w:t xml:space="preserve"> тыс.руб. при плане на год </w:t>
      </w:r>
      <w:r>
        <w:rPr>
          <w:sz w:val="24"/>
          <w:szCs w:val="24"/>
        </w:rPr>
        <w:t xml:space="preserve">12381,9</w:t>
      </w:r>
      <w:r>
        <w:rPr>
          <w:sz w:val="24"/>
          <w:szCs w:val="24"/>
        </w:rPr>
        <w:t xml:space="preserve"> тыс.руб. или на </w:t>
      </w:r>
      <w:r>
        <w:rPr>
          <w:sz w:val="24"/>
          <w:szCs w:val="24"/>
        </w:rPr>
        <w:t xml:space="preserve">84,1</w:t>
      </w:r>
      <w:r>
        <w:rPr>
          <w:sz w:val="24"/>
          <w:szCs w:val="24"/>
        </w:rPr>
        <w:t xml:space="preserve">%. В объем  расходов включены: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выплата пенсии за выслугу лет муниципальным служащим и доплата к пенсии почетным гражданам  в сумме </w:t>
      </w:r>
      <w:r>
        <w:rPr>
          <w:sz w:val="24"/>
          <w:szCs w:val="24"/>
        </w:rPr>
        <w:t xml:space="preserve">4947,7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75,0</w:t>
      </w:r>
      <w:r>
        <w:rPr>
          <w:sz w:val="24"/>
          <w:szCs w:val="24"/>
        </w:rPr>
        <w:t xml:space="preserve">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-расходы на реализацию программы «Молодым семьям доступное ж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лье» в сумме </w:t>
      </w:r>
      <w:r>
        <w:rPr>
          <w:sz w:val="24"/>
          <w:szCs w:val="24"/>
        </w:rPr>
        <w:t xml:space="preserve">5104,5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96,8</w:t>
      </w:r>
      <w:r>
        <w:rPr>
          <w:sz w:val="24"/>
          <w:szCs w:val="24"/>
        </w:rPr>
        <w:t xml:space="preserve">%, за федерального, областного и мес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ного бюджетов. В этом году выдано </w:t>
      </w:r>
      <w:r>
        <w:rPr>
          <w:sz w:val="24"/>
          <w:szCs w:val="24"/>
        </w:rPr>
        <w:t xml:space="preserve">4 сертификата</w:t>
      </w:r>
      <w:r>
        <w:rPr>
          <w:sz w:val="24"/>
          <w:szCs w:val="24"/>
        </w:rPr>
        <w:t xml:space="preserve"> на улучшение жилищ</w:t>
      </w:r>
      <w:r>
        <w:rPr>
          <w:sz w:val="24"/>
          <w:szCs w:val="24"/>
        </w:rPr>
        <w:t xml:space="preserve">ных условий молодых семей, которые освоены в полном объ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ме.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финансовая помощь общественным организациям в сумме </w:t>
      </w:r>
      <w:r>
        <w:rPr>
          <w:sz w:val="24"/>
          <w:szCs w:val="24"/>
        </w:rPr>
        <w:t xml:space="preserve">363,6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70,9</w:t>
      </w:r>
      <w:r>
        <w:rPr>
          <w:sz w:val="24"/>
          <w:szCs w:val="24"/>
        </w:rPr>
        <w:t xml:space="preserve">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 подразделу  02 «Физическая культура и спорт»</w:t>
      </w:r>
      <w:r>
        <w:rPr>
          <w:sz w:val="24"/>
          <w:szCs w:val="24"/>
        </w:rPr>
        <w:t xml:space="preserve">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ды проведены в сумме </w:t>
      </w:r>
      <w:r>
        <w:rPr>
          <w:sz w:val="24"/>
          <w:szCs w:val="24"/>
        </w:rPr>
        <w:t xml:space="preserve">23735,0</w:t>
      </w:r>
      <w:r>
        <w:rPr>
          <w:sz w:val="24"/>
          <w:szCs w:val="24"/>
        </w:rPr>
        <w:t xml:space="preserve"> тыс.руб. при утвержденном бюджете </w:t>
      </w:r>
      <w:r>
        <w:rPr>
          <w:sz w:val="24"/>
          <w:szCs w:val="24"/>
        </w:rPr>
        <w:t xml:space="preserve">38402,7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61,8</w:t>
      </w:r>
      <w:r>
        <w:rPr>
          <w:sz w:val="24"/>
          <w:szCs w:val="24"/>
        </w:rPr>
        <w:t xml:space="preserve">%., в том числе на оплату труда направлено </w:t>
      </w:r>
      <w:r>
        <w:rPr>
          <w:sz w:val="24"/>
          <w:szCs w:val="24"/>
        </w:rPr>
        <w:t xml:space="preserve">17657,3</w:t>
      </w:r>
      <w:r>
        <w:rPr>
          <w:sz w:val="24"/>
          <w:szCs w:val="24"/>
        </w:rPr>
        <w:t xml:space="preserve"> тыс.руб. при плане </w:t>
      </w:r>
      <w:r>
        <w:rPr>
          <w:sz w:val="24"/>
          <w:szCs w:val="24"/>
        </w:rPr>
        <w:t xml:space="preserve">24659,2</w:t>
      </w:r>
      <w:r>
        <w:rPr>
          <w:sz w:val="24"/>
          <w:szCs w:val="24"/>
        </w:rPr>
        <w:t xml:space="preserve"> тыс.руб. или </w:t>
      </w:r>
      <w:r>
        <w:rPr>
          <w:sz w:val="24"/>
          <w:szCs w:val="24"/>
        </w:rPr>
        <w:t xml:space="preserve">71,6</w:t>
      </w:r>
      <w:r>
        <w:rPr>
          <w:sz w:val="24"/>
          <w:szCs w:val="24"/>
        </w:rPr>
        <w:t xml:space="preserve">%. Расходы направлены на с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держание учр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ждения и  на проведение спортивных мероприятий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 состоянию на 01.</w:t>
      </w: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.202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администрация Тайшетского горо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ского поселения не имеет задолженности по невыплаченной заработной пл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те и социальным </w:t>
      </w:r>
      <w:r>
        <w:rPr>
          <w:sz w:val="24"/>
          <w:szCs w:val="24"/>
        </w:rPr>
        <w:t xml:space="preserve">налогам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сп.Витрук О.А.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851" w:right="851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right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5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right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Основной текст"/>
    <w:basedOn w:val="870"/>
    <w:next w:val="874"/>
    <w:link w:val="880"/>
    <w:pPr>
      <w:jc w:val="both"/>
    </w:pPr>
    <w:rPr>
      <w:sz w:val="28"/>
      <w:szCs w:val="20"/>
    </w:rPr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character" w:styleId="876">
    <w:name w:val="Номер страницы"/>
    <w:basedOn w:val="871"/>
    <w:next w:val="876"/>
    <w:link w:val="870"/>
  </w:style>
  <w:style w:type="table" w:styleId="877">
    <w:name w:val="Сетка таблицы"/>
    <w:basedOn w:val="872"/>
    <w:next w:val="877"/>
    <w:link w:val="870"/>
    <w:tblPr/>
  </w:style>
  <w:style w:type="paragraph" w:styleId="878">
    <w:name w:val="Текст выноски"/>
    <w:basedOn w:val="870"/>
    <w:next w:val="878"/>
    <w:link w:val="879"/>
    <w:rPr>
      <w:rFonts w:ascii="Tahoma" w:hAnsi="Tahoma" w:cs="Tahoma"/>
      <w:sz w:val="16"/>
      <w:szCs w:val="16"/>
    </w:rPr>
  </w:style>
  <w:style w:type="character" w:styleId="879">
    <w:name w:val="Текст выноски Знак"/>
    <w:next w:val="879"/>
    <w:link w:val="878"/>
    <w:rPr>
      <w:rFonts w:ascii="Tahoma" w:hAnsi="Tahoma" w:cs="Tahoma"/>
      <w:sz w:val="16"/>
      <w:szCs w:val="16"/>
    </w:rPr>
  </w:style>
  <w:style w:type="character" w:styleId="880">
    <w:name w:val="Основной текст Знак"/>
    <w:next w:val="880"/>
    <w:link w:val="874"/>
    <w:rPr>
      <w:sz w:val="28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Orgotd3</dc:creator>
  <cp:revision>28</cp:revision>
  <dcterms:created xsi:type="dcterms:W3CDTF">2024-10-16T03:14:00Z</dcterms:created>
  <dcterms:modified xsi:type="dcterms:W3CDTF">2024-10-17T01:40:53Z</dcterms:modified>
  <cp:version>917504</cp:version>
</cp:coreProperties>
</file>