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Российская Федерация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Иркутская область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Муниципальное образование «Тайшетский район»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Тайшетское муниципальное образование 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«Тайшетское городское поселение»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Дума Тайшетского городского поселения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(пятый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созыв)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 Е Ш Е Н И Е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830"/>
        <w:jc w:val="center"/>
        <w:spacing w:after="0" w:afterAutospacing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eastAsia="Times New Roman" w:cs="Times New Roman"/>
          <w:szCs w:val="24"/>
        </w:rPr>
      </w:r>
      <w:r>
        <w:rPr>
          <w:rFonts w:ascii="Times New Roman" w:hAnsi="Times New Roman" w:eastAsia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844"/>
        <w:jc w:val="left"/>
        <w:spacing w:after="0" w:afterAutospacing="0" w:line="240" w:lineRule="auto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sz w:val="24"/>
          <w:szCs w:val="24"/>
        </w:rPr>
        <w:t xml:space="preserve">От 29.05.2025</w:t>
        <w:tab/>
        <w:tab/>
        <w:tab/>
        <w:tab/>
        <w:t xml:space="preserve">г.Тайшет</w:t>
        <w:tab/>
        <w:tab/>
        <w:tab/>
        <w:tab/>
        <w:tab/>
        <w:t xml:space="preserve">№</w:t>
      </w:r>
      <w:r>
        <w:rPr>
          <w:rFonts w:ascii="Times New Roman" w:hAnsi="Times New Roman" w:eastAsia="Times New Roman" w:cs="Times New Roman"/>
          <w:b w:val="0"/>
          <w:sz w:val="24"/>
          <w:szCs w:val="24"/>
        </w:rPr>
        <w:t xml:space="preserve">152</w:t>
      </w:r>
      <w:r>
        <w:rPr>
          <w:rFonts w:ascii="Times New Roman" w:hAnsi="Times New Roman" w:eastAsia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</w:p>
    <w:p>
      <w:pPr>
        <w:pStyle w:val="844"/>
        <w:jc w:val="both"/>
        <w:spacing w:after="0" w:afterAutospacing="0" w:line="240" w:lineRule="auto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sz w:val="24"/>
          <w:szCs w:val="24"/>
        </w:rPr>
      </w:r>
      <w:r>
        <w:rPr>
          <w:rFonts w:ascii="Times New Roman" w:hAnsi="Times New Roman" w:cs="Times New Roman"/>
          <w:b w:val="0"/>
          <w:sz w:val="24"/>
          <w:szCs w:val="24"/>
        </w:rPr>
      </w:r>
    </w:p>
    <w:p>
      <w:pPr>
        <w:pStyle w:val="836"/>
        <w:ind w:right="498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внесении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изменений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Положение о муниципальном земельном контроле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Тайшетском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муниципальном образовании 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 утверждённое решением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25 ноября 2021 года № 249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целях приведения муниципального нормативного правового акта в соответствие с действующим законодательством, руководствуясь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Федеральным законом от 31 июля 2020 года №248-ФЗ «О государственном контроле (надзоре) и муниципальном контроле в Российской Федерации»,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Федеральным законом от 6 октября 2003 года №131-ФЗ «Об общих принципах организации местного самоуправления в Российской Федерации», статьями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6, 7.1, 31, 47 Устава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образования 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Дума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0"/>
        <w:keepLines w:val="0"/>
        <w:spacing w:after="0" w:afterAutospacing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eastAsia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  <w:b/>
          <w:bCs/>
        </w:rPr>
      </w:r>
    </w:p>
    <w:p>
      <w:pPr>
        <w:ind w:firstLine="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Е Ш И Л А: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ind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Внести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Положение о муниципальном земельном контроле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муниципальном образовании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городское поселение», утверждённое решением Думы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от 25 ноября 2021 года №2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49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(в редакции решения Думы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городского поселения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от 21 июля 2022 года №306)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,</w:t>
      </w:r>
      <w:bookmarkStart w:id="0" w:name="undefined"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bookmarkEnd w:id="0"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следующие изменения: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1.1.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пункт 1.2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«1.2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Предметом муниципального земельного контроля является соблюдение юридическими лицами,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индивидуальными предпринимателями, гражданами (далее – контролируемые лица) обязательных требований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 использованию и охране земель в отношении объектов земельных отношений,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за нарушение которых законодательством предусмотрена административная ответственность.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1.2.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пункт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 1.8. отменить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t xml:space="preserve">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t xml:space="preserve">1.3.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раз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дел 2 изложить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следующ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ей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редакции: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«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2. Управл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ение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рисками причинения вреда (ущерба)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охраняемым законом  ценностям при осуществлении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муниципального земельного контроля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t xml:space="preserve">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2.1. Адм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инистрация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осуществляет муниципальный земельный контроль на основе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управления рисками причинения вреда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(ущерба).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2.2.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ля целей управления рисками причинения вреда (ущерба) при осуществлении муниципального земельного контроля относятся объекты контроля к одной из следующих категорий риска причинения вреда (ущерба) (далее - категории риска):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1) средний риск;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2) умеренный риск;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3) низкий риск.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2.3. Отнесение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земель и земельных участков к определенной категории риска осуществляется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соглас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но приложению 2 к настоящему Положению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fldChar w:fldCharType="begin"/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instrText xml:space="preserve">HYPERLINK "file:///\\\\192.168.0.251\\Institut1\\Основные%20направления%20работы%20Института\\Модельные%20акты\\Проекты%20модельных%20актов\\Модельные%20типовые%20документы\\_blank" \l "_blank"</w:instrTex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fldChar w:fldCharType="separate"/>
      </w:r>
      <w:r>
        <w:rPr>
          <w:rStyle w:val="839"/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white"/>
          <w:u w:val="none"/>
        </w:rPr>
        <w:t xml:space="preserve">К</w:t>
      </w:r>
      <w:r>
        <w:rPr>
          <w:rStyle w:val="839"/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white"/>
          <w:u w:val="none"/>
        </w:rPr>
        <w:t xml:space="preserve">ритери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fldChar w:fldCharType="end"/>
      </w:r>
      <w:r>
        <w:rPr>
          <w:rStyle w:val="839"/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white"/>
          <w:u w:val="none"/>
        </w:rPr>
        <w:t xml:space="preserve">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отнесения используемых гражданами, юридическими лицами и (или) индивидуальными предпринимателями земель и земельных участков к определенной категории риска при осуществлении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дминистрацией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муниципального земельного контроля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Отнес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ение земель и земельных участков к категориям риска и изменение присвоенным землям и земельным участкам категорий риска осуществляется распоряжением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дминистрации.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При отнесении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земель и земельных участков к категориям риска используются в том числе: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1) сведения, содержащиеся в Едином государственном реестре недвижимости;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2) сведения, получаемые при проведении должностными лицами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профилактических мероприятий в соответствии с разделом 3 настоящего Положения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3) иные сведения,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white"/>
          <w:u w:val="none"/>
        </w:rPr>
        <w:t xml:space="preserve">имеющиеся в распоряжении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white"/>
          <w:u w:val="none"/>
        </w:rPr>
        <w:t xml:space="preserve">контрольного органа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2.4.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Проведение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контрольным органом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плановых контрольных мероприятий в отношении земельных участков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не осуществляется.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Периоди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чность проведения обязательного профилактического визита в отношении земельных участков, отнесенных к категории среднего и умеренного риска, определяется Правительством Российской Федерации.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В отношении земельных участков, отнесенных к категории низкого риска, 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бязательный профилактический визит не проводится.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5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 По запросу правообладателя земельного уча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стка должностные лица в срок не превышающий 15 дней со дня поступления запроса, предоставляет ему информацию о присвоенной земельному участку категории риска, а также сведения, использованные при отнесении земельного участка к определенной категории риска.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Правообладатель земельного участка вправе подать в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дминистрацию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заявление об изменении присвоенной ранее земельному участку категории риска.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2.6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Администрация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ведет перечни земельных участков, которым присвоены категории риска (далее – перечни земельных участков). Включение земельных участков в перечни земельных участков осуществляется в соответствии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с распоряжением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, указанным в пункте 2.3 настоящего Положения.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Перечни земельных участков с указанием категорий риска размещаются на официальном сайте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в информационно-телекоммуникационной сети «Интернет» (далее – официальный сайт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) в специальном разделе, посвященном контрольной деятельности.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 Доступ к специальному разделу должен осуществляться с главной (основной) страницы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официального сайта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7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 Перечни земельных участков содержат следующую информацию: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1) кадастровый номер земельного участка или при его отсутствии адрес местоположения земельного участка;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2) присвоенная категория риска;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3) реквизиты решения о присвоении земельному участку категории риска.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t xml:space="preserve">1.4.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абзац 2 пункта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.4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В случае если при проведении профила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 незамедлительно направляет информацию об этом главе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городское поселение» (далее – Глава) для принятия решения о проведении контрольных мероприятий,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либо в случаях, предусмотренных Федеральным законом № 248-ФЗ, принимает меры, указанные в статье 90  Федерального закона № 248-ФЗ.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  <w:shd w:val="clear" w:color="auto" w:fill="ffffff"/>
        </w:rPr>
        <w:t xml:space="preserve">1.5.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пункт 3.5 изложить в следующей редакции: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3.5. При осуществлении администрацией муниципального земельного контроля могут проводиться следующие виды профилактических мероприятий: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1) информирование;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объявление предостережения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3)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консультирование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4)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профилактический визит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.»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  <w:shd w:val="clear" w:color="auto" w:fill="ffffff"/>
        </w:rPr>
        <w:t xml:space="preserve">1.6.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абзац 3 пункта 3.6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редакции: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Администрация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также вправе информировать население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b w:val="0"/>
          <w:bCs w:val="0"/>
          <w:i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на собраниях и конференциях граждан об обязательн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земельных участков, исходя из их отнесения к соответствующей категории риска.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t xml:space="preserve">1.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7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 раздел 3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дополнить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пунктами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 3.9., 3.10.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следующего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 содержания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«3.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9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В случае наличия у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сведений о готовящихся нарушениях обязательных требований или признаках 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а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дминистрация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Предостере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№248-ФЗ, и должно содержать указание на соответствующие обязательные требования, предусматривающий их 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 содержать требование представления контролируемым лицом сведений и документов,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требований. 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Должностные лица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существля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ю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 учет объявленных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дминистрацией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предостережений о недопустимости нарушения обязательных требований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в журнале учета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и использу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ю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 соответствующие данные для проведения иных профилактических мероприятий и контрольных (надзорных) мероприятий.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Контролируемое лицо вправе после получения предостережения о недопустимости нарушения обязательных требований подать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дминистрацию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возражение в отношении указанного предостережения в срок не позднее 30 дней со дня получения им предостережения. Возражение рассматривается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министрацией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в течение 30 дней со дня его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регистрации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 В результате рассмотрения возражения контролируемому лицу направляется ответ с информацией о согласии или несогласии с возражением.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В случае принятия представленных в возражении контролируемого лица доводов направленное ранее предостережение аннулируется должностным лицом с соответствующей отметкой в журнале учета объявленных предостережений.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Информация о несогласии с возражением или об аннулировании предостережения направляется в адрес контролируемого лица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в форме электр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онного документа по адресу электронной почты, указанному в возражении, поступившем в контрольный орган в форме электронного документа, или в письменной форме по почтовому адресу, указанному в возражении, поступившем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дминистрацию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в письменной форме. 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3.10.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или мобильного приложения «Инспектор»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В ходе профилактического визита контролируемое лицо информируется об обязательных требованиях, предъявляемых к его деят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тветствующей категории риска, а должностное лицо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Профилактический визит проводится по инициативе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(обязательный профилактический визит) или по инициативе контролируемого лица. 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бязательный профилактический визит проводится в соответствии со статьей 5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2.1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Федерального закона № 248-ФЗ.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Профилактический виз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ит по инициативе контролируемого лица может быть проведен по его заявлению, если такое лицо относится к субъектам малого предпринимательства, является социально ориентированной некоммерческой организацией либо государственным или муниципальным учреждением.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Проведение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п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рофилактического визита по инициативе контролируемого лица осуществляется в соответствии со статьей 52.2 Федерального закона № 248-ФЗ.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1.8. пункт 4.5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4.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5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нтрольны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мероприяти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осуществляются по основаниям, предусмотренным пунктами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, 3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– 5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7, 9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части 1 статьи 57 Федерального закона № 248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-ФЗ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1.9.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дополнить приложением 2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Положение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lang w:eastAsia="zh-CN"/>
        </w:rPr>
        <w:t xml:space="preserve">(прилагается).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jc w:val="both"/>
        <w:keepLines w:val="0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Председатель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/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  <w:t xml:space="preserve">П.В.Терещенко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keepLines w:val="0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/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  <w:t xml:space="preserve">Р.О.Леоненко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pStyle w:val="837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ind w:firstLine="0"/>
        <w:jc w:val="right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Думы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pStyle w:val="837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от 29 мая 202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года №152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jc w:val="right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«Приложение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2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к Положению о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муниципальном  земельном контроле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jc w:val="right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Тайшетском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муниципальном образовании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jc w:val="right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jc w:val="right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утверждённому решением Думы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jc w:val="right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jc w:val="righ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25 ноября 2021 года № 249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ind w:firstLine="709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pStyle w:val="843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Критерии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43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отнесения используемых гражданами, юридическими лицами и (или) индивидуальными предпринимателями земель и земельных участков к определенной категории риска п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ри осуществлении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муниципального земельного контроля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843"/>
        <w:jc w:val="center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7"/>
        <w:ind w:firstLine="720"/>
        <w:jc w:val="both"/>
        <w:spacing w:line="240" w:lineRule="auto"/>
        <w:rPr>
          <w:rFonts w:ascii="Times New Roman" w:hAnsi="Times New Roman" w:cs="Times New Roma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1. К категории среднего риска относятся: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7"/>
        <w:ind w:firstLine="720"/>
        <w:jc w:val="both"/>
        <w:spacing w:line="240" w:lineRule="auto"/>
        <w:rPr>
          <w:rFonts w:ascii="Times New Roman" w:hAnsi="Times New Roman" w:cs="Times New Roma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а) земельные участки, граничащие с земельными участками, предназначенными для захоронения и размещения отходов производства и потребления, размещения кладбищ;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7"/>
        <w:ind w:firstLine="720"/>
        <w:jc w:val="both"/>
        <w:spacing w:line="240" w:lineRule="auto"/>
        <w:rPr>
          <w:rFonts w:ascii="Times New Roman" w:hAnsi="Times New Roman" w:cs="Times New Roma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б) земельные участки, расположенные полностью или частично в границах либо примыкающие к границе береговой полосы водных объектов общего пользования.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7"/>
        <w:ind w:firstLine="720"/>
        <w:jc w:val="both"/>
        <w:spacing w:line="240" w:lineRule="auto"/>
        <w:rPr>
          <w:rFonts w:ascii="Times New Roman" w:hAnsi="Times New Roman" w:cs="Times New Roma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2. К категории умеренного риска относятся земельные участки: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7"/>
        <w:ind w:firstLine="720"/>
        <w:jc w:val="both"/>
        <w:spacing w:line="240" w:lineRule="auto"/>
        <w:rPr>
          <w:rFonts w:ascii="Times New Roman" w:hAnsi="Times New Roman" w:cs="Times New Roma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а) относящиеся к категории земель населенных пунктов;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7"/>
        <w:ind w:firstLine="720"/>
        <w:jc w:val="both"/>
        <w:spacing w:line="240" w:lineRule="auto"/>
        <w:rPr>
          <w:rFonts w:ascii="Times New Roman" w:hAnsi="Times New Roman" w:cs="Times New Roma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б) относящиеся к категории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  за исключ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ением земель, предназначенных для размещения автомобильных дорог, железнодорожных путей, трубопроводного транспорта, линий электропередач), граничащие с землями и (или) земельными участками, относящимися к категории земель сельскохозяйственного назначения;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7"/>
        <w:ind w:firstLine="720"/>
        <w:jc w:val="both"/>
        <w:spacing w:line="240" w:lineRule="auto"/>
        <w:rPr>
          <w:rFonts w:ascii="Times New Roman" w:hAnsi="Times New Roman" w:cs="Times New Roma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в) относящиеся к категории земель сельскохозяйственного назначения и граничащие с землями и (или) земельными участками, относящимися к категории земель населенных пунктов.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37"/>
        <w:ind w:firstLine="720"/>
        <w:jc w:val="both"/>
        <w:spacing w:line="240" w:lineRule="auto"/>
        <w:widowControl w:val="off"/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3. К категории низкого риска относятся все иные земельные участки, не отнесенные к категориям среднего или умеренного риска, а также части земель, на которых не образованы земельные участки.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2. Администрации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опубликовать настоящее решение Думы в официальных средствах массовой инф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ормации.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ind w:firstLine="720"/>
        <w:jc w:val="both"/>
        <w:keepLines w:val="0"/>
        <w:spacing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3. Настоящее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решение вступает в силу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после дня его опубликования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0"/>
        <w:ind w:firstLine="0"/>
        <w:jc w:val="both"/>
        <w:spacing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Начальник отдела по организационной работе,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0"/>
        <w:ind w:firstLine="0"/>
        <w:jc w:val="both"/>
        <w:spacing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контролю и делопроизводству администрации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0"/>
        <w:jc w:val="both"/>
        <w:spacing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 </w:t>
        <w:tab/>
        <w:tab/>
        <w:tab/>
        <w:t xml:space="preserve"> В.Д. Бычкова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Courier New">
    <w:panose1 w:val="020704090202050204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link w:val="6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link w:val="684"/>
    <w:uiPriority w:val="35"/>
    <w:rPr>
      <w:b/>
      <w:bCs/>
      <w:color w:val="4f81bd" w:themeColor="accent1"/>
      <w:sz w:val="18"/>
      <w:szCs w:val="18"/>
    </w:rPr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  <w:style w:type="paragraph" w:styleId="836" w:customStyle="1">
    <w:name w:val="HTML Preformatted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Courier New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7" w:customStyle="1">
    <w:name w:val="ConsPlusNormal"/>
    <w:uiPriority w:val="99"/>
    <w:pPr>
      <w:contextualSpacing w:val="0"/>
      <w:ind w:left="0" w:right="0" w:firstLine="72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38" w:customStyle="1">
    <w:name w:val="Обычный (веб)"/>
    <w:uiPriority w:val="99"/>
    <w:unhideWhenUsed/>
    <w:pPr>
      <w:contextualSpacing w:val="0"/>
      <w:ind w:left="0" w:right="0" w:firstLine="0"/>
      <w:jc w:val="left"/>
      <w:keepLines w:val="0"/>
      <w:keepNext w:val="0"/>
      <w:pageBreakBefore w:val="0"/>
      <w:spacing w:before="100" w:beforeAutospacing="1" w:after="100" w:afterAutospacing="1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839" w:customStyle="1">
    <w:name w:val="Гиперссылка"/>
    <w:rPr>
      <w:color w:val="0000ff"/>
      <w:u w:val="single"/>
    </w:rPr>
  </w:style>
  <w:style w:type="paragraph" w:styleId="840" w:customStyle="1">
    <w:name w:val="Абзац списка"/>
    <w:qFormat/>
    <w:pPr>
      <w:contextualSpacing/>
      <w:ind w:left="72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841" w:customStyle="1">
    <w:name w:val="Знак сноски"/>
    <w:semiHidden/>
    <w:unhideWhenUsed/>
    <w:rPr>
      <w:vertAlign w:val="superscript"/>
    </w:rPr>
  </w:style>
  <w:style w:type="paragraph" w:styleId="842" w:customStyle="1">
    <w:name w:val="Текст сноски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3" w:customStyle="1">
    <w:name w:val="ConsPlusTitle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Calibri" w:cs="Calibri"/>
      <w:b/>
      <w:bCs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44" w:customStyle="1">
    <w:name w:val="ConsTitle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/>
      <w:bCs/>
      <w:i w:val="0"/>
      <w:iCs w:val="0"/>
      <w:caps w:val="0"/>
      <w:smallCaps w:val="0"/>
      <w:strike w:val="0"/>
      <w:vanish w:val="0"/>
      <w:color w:val="auto"/>
      <w:spacing w:val="0"/>
      <w:position w:val="0"/>
      <w:sz w:val="16"/>
      <w:szCs w:val="16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7</cp:revision>
  <dcterms:modified xsi:type="dcterms:W3CDTF">2025-05-30T06:30:31Z</dcterms:modified>
</cp:coreProperties>
</file>