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Российская Федерация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Иркутская область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Муниципальное образование «Тайшетский район»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Тайшетское муниципальное образование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«Тайшетское городское поселение»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Дума Тайшетского городского поселения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(пятый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созыв)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 Е Ш Е Н И Е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830"/>
        <w:jc w:val="center"/>
        <w:spacing w:before="0" w:beforeAutospacing="0" w:after="0" w:afterAutospacing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eastAsia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37"/>
        <w:contextualSpacing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sz w:val="24"/>
          <w:szCs w:val="24"/>
        </w:rPr>
        <w:t xml:space="preserve">От 29.05.2025</w:t>
        <w:tab/>
        <w:tab/>
        <w:tab/>
        <w:tab/>
        <w:t xml:space="preserve">г.Тайшет</w:t>
        <w:tab/>
        <w:tab/>
        <w:tab/>
        <w:t xml:space="preserve">№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153</w:t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37"/>
        <w:contextualSpacing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contextualSpacing/>
        <w:ind w:right="4876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 внесении изменений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контроле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 на территории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23 декабря 2021 года №266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7"/>
        <w:contextualSpacing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целях приведения муниципального нормативного правового акта в соответствие с действующим законодательством, руководствуясь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31 июля 2020 года № 248-ФЗ «О государственном контроле (надзоре) и муниципальном контроле в Российской Федерации»,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 статьями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6, 7.1, 31, 47 Устава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поселение», Дума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b/>
          <w:sz w:val="28"/>
          <w:szCs w:val="28"/>
        </w:rPr>
        <w:suppressLineNumbers w:val="0"/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Е Ш И Л А: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838"/>
        <w:contextualSpacing/>
        <w:jc w:val="left"/>
        <w:spacing w:before="0" w:beforeAutospacing="0" w:after="0" w:afterAutospacing="0" w:line="240" w:lineRule="auto"/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sz w:val="24"/>
          <w:szCs w:val="24"/>
        </w:rPr>
      </w:r>
      <w:r>
        <w:rPr>
          <w:rFonts w:ascii="Times New Roman" w:hAnsi="Times New Roman" w:cs="Times New Roman"/>
          <w:b/>
          <w:i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 Внести 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Положение о муниципальном контроле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 на территории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утверждённое решением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от 23 декабря 2021 года № 266 (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редакции решения Думы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 21 июля 2022 года №307)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,</w:t>
      </w:r>
      <w:bookmarkStart w:id="0" w:name="undefined"/>
      <w:r>
        <w:rPr>
          <w:rFonts w:ascii="Times New Roman" w:hAnsi="Times New Roman" w:eastAsia="Times New Roman" w:cs="Times New Roman"/>
          <w:sz w:val="24"/>
          <w:szCs w:val="24"/>
        </w:rPr>
      </w:r>
      <w:bookmarkEnd w:id="0"/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следующие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изменения: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1.1.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1.8. отменить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1.2.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раз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дел 2 изложить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следующ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ей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редакции: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2. Управление рисками причинения вреда (ущерба) охраняемым законом ценностям при осуществлении контроля в сфере благоустройства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2.1. Адм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осуществляет муниципальный контроль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основе управления рисками причинения вреда (ущерба).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2.2.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ля целей управления рисками причинения вреда (ущерба) при осуществлении муниципального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относятся объекты контроля к одной из следующих категорий риска причинения вреда (ущерба) (далее - категории риска):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средний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2) умеренный риск;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3) низкий риск.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2.3. Отнесение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ией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 определенной категории риска осуществляется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соглас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но приложению 1 к настоящему Положению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begin"/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instrText xml:space="preserve">HYPERLINK "file:///\\\\192.168.0.251\\Institut1\\Основные%20направления%20работы%20Института\\Модельные%20акты\\Проекты%20модельных%20актов\\Модельные%20типовые%20документы\\_blank" \l "_blank"</w:instrTex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separate"/>
      </w:r>
      <w:r>
        <w:rPr>
          <w:rStyle w:val="840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К</w:t>
      </w:r>
      <w:r>
        <w:rPr>
          <w:rStyle w:val="840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ритери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fldChar w:fldCharType="end"/>
      </w:r>
      <w:r>
        <w:rPr>
          <w:rStyle w:val="840"/>
          <w:rFonts w:ascii="Times New Roman" w:hAnsi="Times New Roman" w:eastAsia="Times New Roman" w:cs="Times New Roman"/>
          <w:color w:val="000000"/>
          <w:sz w:val="24"/>
          <w:szCs w:val="24"/>
          <w:highlight w:val="white"/>
          <w:u w:val="none"/>
        </w:rPr>
        <w:t xml:space="preserve">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отнесения объектов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к определённой категории риска при осуществлении администрацией Тайшетского городского поселения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».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Отнес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ение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 изменение присвоенным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объектам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категорий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осуществляется распоряжением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При отнесении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контрольным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орган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ом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 объектов контроля к категориям риска используются в том числе: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сведения, получаемые при проведении должностными лицами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профилактических мероприятий в соответствии с разделом 3 настоящего Положения;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) иные сведения,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имеющиеся в распоряжении контрольного органа.</w:t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 администрацией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плановых контрольных мероприятий в отношении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не осуществляется.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Периоди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чность проведения обязательного профилактического визита в отношении объектов контроля, отнесенных к категории среднего и умеренного риска, определяется Правительством Российской Федерации.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отношении объектов контроля, отнесенных к категории низкого риска, 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не проводится.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По запросу правообладателя объекта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должностные лица в срок не превышающий 15 дней со дня поступления запроса, предоставляют ему информацию о присвоенной объекту контроля категории риска, а также сведения, использованные при отнесении объекта контроля к определенной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Правообладатель объекта контроля вправе подать в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дминистрацию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заявление об изменении присвоенной ранее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объекту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категории риска.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2.6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ведет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которым присвоены категории риска (далее – перечни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объектов контроля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). Включение объектов контроля в перечни объектов осуществляется в соответствии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 распоряжением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указанным в пункте 2.3 настоящего Положения.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 указанием категорий риска размещаются на официальном сайте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информационно-телекоммуникационной сети «Интернет» (далее – официальный сайт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в специальном разделе, посвященном контрольной деятельности.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Доступ к специальному разделу должен осуществляться с главной (основной) страницы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официального сайта 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Перечни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объектов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к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категориям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риска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в рамках осуществления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муниципального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контроля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содержат следующую информацию: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информация, идентифицирующая объект контроля;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2) присвоенная категория риска;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3) реквизиты решения о присвоении объекту контроля категории риска.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left="0" w:right="0"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  <w:shd w:val="clear" w:color="auto" w:fill="ffffff"/>
        </w:rPr>
        <w:t xml:space="preserve">1.3.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пункт 3.5 изложить в следующей редакции: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3.5. При осуществлении администрацией муниципального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могут проводиться следующие виды профилактических мероприятий: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1) информирование;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консультирование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/>
        <w:spacing w:before="0" w:beforeAutospacing="0" w:after="0" w:afterAutospacing="0" w:line="240" w:lineRule="auto"/>
        <w:widowControl w:val="off"/>
        <w:rPr>
          <w:rFonts w:ascii="Times New Roman" w:hAnsi="Times New Roman" w:cs="Times New Roman"/>
          <w:sz w:val="24"/>
          <w:szCs w:val="24"/>
          <w:highlight w:val="non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объявление предостережения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;</w:t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non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4)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  <w:shd w:val="clear" w:color="auto" w:fill="ffffff"/>
        </w:rPr>
        <w:t xml:space="preserve">1.4.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абзац 3 пункта 3.6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изложить в следующей редакции: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Администрация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также вправе информировать население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айшетского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муниципального образования 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i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на собраниях и конференциях граждан об обязательн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объектов контроля, исходя из их отнесения к соответствующей категории риска.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bCs/>
          <w:sz w:val="24"/>
          <w:szCs w:val="24"/>
          <w:highlight w:val="none"/>
          <w:u w:val="none"/>
          <w:shd w:val="clear" w:color="auto" w:fill="ffffff"/>
        </w:rPr>
        <w:t xml:space="preserve">1.5.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3.9. отменить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;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1.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6.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раздел 3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дополнить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пунктами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 3.10, 3.11 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следующего</w:t>
      </w:r>
      <w:r>
        <w:rPr>
          <w:rFonts w:ascii="Times New Roman" w:hAnsi="Times New Roman" w:eastAsia="Times New Roman" w:cs="Times New Roman"/>
          <w:bCs/>
          <w:sz w:val="24"/>
          <w:szCs w:val="24"/>
          <w:highlight w:val="white"/>
          <w:u w:val="none"/>
          <w:shd w:val="clear" w:color="auto" w:fill="ffffff"/>
        </w:rPr>
        <w:t xml:space="preserve"> содержания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«3.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10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наличия у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сведений о готовящихся нарушениях обязательных требований или признаках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Предостере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№248-ФЗ, и должно содержать указание на соответствующие обязательные требования, предусматривающий их н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содержать требование представления контролируемым лицом сведений и документов, сроки для устранения последствий, возникших в результате действий (бездействия) контролируемого лица, которые могут привести или приводят к нарушению обязательных требований.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Должностные лица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существля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учет объявленных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предостережений о недопустимости нарушения обязательных требований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журнале учета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 использу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 соответствующие данные для проведения иных профилактических мероприятий и контрольных (надзорных) мероприятий.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Контролируемое лицо вправе после получения предостережения о недопустимости нарушения обязательных требований подать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возражение в отношении указанного предостережения в срок не позднее 30 дней со дня получения им предостережения. Возражение рассматривается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д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министрацией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течение 30 дней со дня его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регистрации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В результате рассмотрения возражения контролируемому лицу направляется ответ с информацией о согласии или несогласии с возражением.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случае принятия представленных в возражении контролируемого лица доводов направленное ранее предостережение аннулируется должностным лицом с соответствующей отметкой в журнале учета объявленных предостережений.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Информация о несогласии с возражением или об аннулировании предостережения направляется в адрес контролируемого лица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форме электр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онного документа по адресу электронной почты, указанному в возражении, поступившем в контрольный орган в форме электронного документа, или в письменной форме по почтовому адресу, указанному в возражении, поступившем в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дминистрацию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в письменной форме.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3.11.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или мобильного приложения «Инспектор»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В ходе профилактического визита контролируемое лицо информируется об обязательных требованиях, предъявляемых к его деят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тветствующей категории риска, а должностное лицо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визит проводится по инициативе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а</w:t>
      </w:r>
      <w:r>
        <w:rPr>
          <w:rFonts w:ascii="Times New Roman" w:hAnsi="Times New Roman" w:cs="Times New Roman"/>
          <w:sz w:val="24"/>
          <w:szCs w:val="24"/>
          <w:u w:val="none"/>
        </w:rPr>
        <w:t xml:space="preserve">дминистрации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(обязательный профилактический визит) или по инициативе контролируемого лица. 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бязательный профилактический визит проводится в соответствии со статьей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2.1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Федерального закона №248-ФЗ.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Профилактический виз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Проведение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п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рофилактического визита по инициативе контролируемого лица осуществляется в соответствии со статьей 52.2 Федерального закона № 248-ФЗ.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1.7. пункт 4.3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изложить в следующей редакции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  <w:shd w:val="clear" w:color="auto" w:fill="ffffff"/>
        </w:rPr>
        <w:t xml:space="preserve">: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  <w:highlight w:val="white"/>
          <w:u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4.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Ко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нтрольны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е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мероприяти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я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осуществляются по основаниям, предусмотренным пунктами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1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3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– 5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7, 9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части 1 статьи 57 Федерального закона № 248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-ФЗ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»</w:t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  <w:r>
        <w:rPr>
          <w:rFonts w:ascii="Times New Roman" w:hAnsi="Times New Roman" w:cs="Times New Roman"/>
          <w:sz w:val="24"/>
          <w:szCs w:val="24"/>
          <w:highlight w:val="white"/>
          <w:u w:val="none"/>
        </w:rPr>
      </w:r>
    </w:p>
    <w:p>
      <w:pPr>
        <w:contextualSpacing/>
        <w:ind w:left="0" w:right="0" w:firstLine="72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1.8. дополнить приложением 2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(прилагается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2. Администрации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городского поселения опубликовать настоящее решение Думы в официальных средствах массовой информации.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20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3. Настоящее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решение вступает в силу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после дня его опубликования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9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Председатель Думы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  <w:t xml:space="preserve">П.В.Терещенко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/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</w:r>
      <w:r>
        <w:rPr>
          <w:rFonts w:ascii="Times New Roman" w:hAnsi="Times New Roman" w:eastAsia="Times New Roman" w:cs="Times New Roman"/>
          <w:sz w:val="24"/>
          <w:szCs w:val="24"/>
        </w:rPr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Р.О.Леоненко</w:t>
      </w:r>
      <w:r>
        <w:rPr>
          <w:rFonts w:ascii="Times New Roman" w:hAnsi="Times New Roman" w:eastAsia="Times New Roman" w:cs="Times New Roman"/>
          <w:sz w:val="24"/>
          <w:szCs w:val="24"/>
        </w:rPr>
      </w:r>
      <w:bookmarkStart w:id="0" w:name="undefined"/>
      <w:r>
        <w:rPr>
          <w:rFonts w:ascii="Times New Roman" w:hAnsi="Times New Roman" w:eastAsia="Times New Roman" w:cs="Times New Roman"/>
          <w:sz w:val="24"/>
          <w:szCs w:val="24"/>
        </w:rPr>
      </w:r>
      <w:bookmarkEnd w:id="0"/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 решению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Думы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ind w:firstLine="0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городского поселения</w:t>
      </w:r>
      <w:r>
        <w:rPr>
          <w:rFonts w:ascii="Times New Roman" w:hAnsi="Times New Roman" w:cs="Times New Roman"/>
          <w:sz w:val="24"/>
          <w:szCs w:val="24"/>
        </w:rPr>
      </w:r>
      <w:r/>
    </w:p>
    <w:p>
      <w:pPr>
        <w:pStyle w:val="837"/>
        <w:jc w:val="right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29 мая 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 №153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«Приложение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2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к Положению о муниципальном контроле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20"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на автомобильном транспорте, городском наземном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</w:p>
    <w:p>
      <w:pPr>
        <w:contextualSpacing/>
        <w:ind w:firstLine="720"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транспорте</w:t>
      </w:r>
      <w:r>
        <w:rPr>
          <w:rFonts w:ascii="Times New Roman" w:hAnsi="Times New Roman" w:eastAsia="Times New Roman" w:cs="Times New Roman"/>
          <w:bCs/>
          <w:color w:val="000000"/>
          <w:sz w:val="24"/>
          <w:szCs w:val="24"/>
          <w:lang w:eastAsia="zh-CN"/>
        </w:rPr>
        <w:t xml:space="preserve"> и в дорожном хозяйстве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на территории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Тайшетского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муниципального образования 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«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Тайшетское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zh-CN"/>
        </w:rPr>
        <w:t xml:space="preserve"> городское поселение»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,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утвержденному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решением Думы 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Тайшетского</w:t>
      </w: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 городского поселения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jc w:val="right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eastAsia="zh-CN"/>
        </w:rPr>
        <w:t xml:space="preserve">от 23 декабря 2021 года №266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left="0" w:right="0" w:firstLine="567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eastAsia="zh-CN"/>
        </w:rPr>
      </w:r>
    </w:p>
    <w:p>
      <w:pPr>
        <w:contextualSpacing/>
        <w:ind w:firstLine="709"/>
        <w:jc w:val="center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u w:val="none"/>
        </w:rPr>
        <w:t xml:space="preserve">Критерии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  <w:u w:val="none"/>
        </w:rPr>
        <w:t xml:space="preserve"> отнесения объектов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 к определённой категории риска при осуществлении администрацией Тайшетского городского поселения контроля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в сфере благоустройства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firstLine="709"/>
        <w:jc w:val="center"/>
        <w:spacing w:before="0" w:beforeAutospacing="0" w:after="0" w:afterAutospacing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contextualSpacing/>
        <w:ind w:left="0" w:right="0" w:firstLine="708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Критерием отнесения объектов муниципального контроля в сфере благоустройства к категории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среднего риска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 является:</w:t>
      </w:r>
      <w:r>
        <w:rPr>
          <w:rFonts w:ascii="Times New Roman" w:hAnsi="Times New Roman" w:cs="Times New Roman"/>
          <w:b w:val="0"/>
          <w:bCs w:val="0"/>
          <w:szCs w:val="24"/>
        </w:rPr>
      </w:r>
      <w:r>
        <w:rPr>
          <w:rFonts w:ascii="Times New Roman" w:hAnsi="Times New Roman" w:cs="Times New Roman"/>
          <w:b w:val="0"/>
          <w:bCs w:val="0"/>
          <w:szCs w:val="24"/>
        </w:rPr>
      </w:r>
    </w:p>
    <w:p>
      <w:pPr>
        <w:contextualSpacing/>
        <w:ind w:left="0" w:right="0" w:firstLine="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наличие на объекте контроля в течение предшествующего года нарушений следующих обязательных требований в сфере благоустройства:</w:t>
      </w:r>
      <w:r>
        <w:rPr>
          <w:rFonts w:ascii="Times New Roman" w:hAnsi="Times New Roman" w:cs="Times New Roman"/>
          <w:b w:val="0"/>
          <w:bCs w:val="0"/>
          <w:szCs w:val="24"/>
        </w:rPr>
      </w:r>
      <w:r>
        <w:rPr>
          <w:rFonts w:ascii="Times New Roman" w:hAnsi="Times New Roman" w:cs="Times New Roman"/>
          <w:b w:val="0"/>
          <w:bCs w:val="0"/>
          <w:szCs w:val="24"/>
        </w:rPr>
      </w:r>
    </w:p>
    <w:p>
      <w:pPr>
        <w:contextualSpacing/>
        <w:ind w:left="0" w:right="0" w:firstLine="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загрязнение территории Тайшетского городского поселения, связанное с эксплуатацией и ремонтом транспортных средств, мойка транспортных средств вне специально отведенных мест, стоянка на проезжей части дворовых территорий,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а также размещение разукомплектованных транспортных средств независимо от места их расположения, кроме специально отведенных для этого мест; размещение транспортных средств на детских площадках;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left="0" w:right="0" w:firstLine="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отсутствие в административно-деловых и торговых центрах (комплексах), зданиях, предназначенных для использования или фактически используемых в целях делового, административного или коммерческого назначения, побъектах социальной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инфраструктуры пандусов и (или) приспособлений, необходимых для обеспечения беспрепятственного доступа к указанным объектам людей с инвалидностью и других маломобильных групп населения.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contextualSpacing/>
        <w:ind w:left="0" w:right="0" w:firstLine="708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Критерием отнесения объектов контроля к категории 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умеренного риска 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относятся:</w:t>
      </w:r>
      <w:r>
        <w:rPr>
          <w:rFonts w:ascii="Times New Roman" w:hAnsi="Times New Roman" w:cs="Times New Roman"/>
          <w:b w:val="0"/>
          <w:bCs w:val="0"/>
          <w:szCs w:val="24"/>
        </w:rPr>
      </w:r>
      <w:r>
        <w:rPr>
          <w:rFonts w:ascii="Times New Roman" w:hAnsi="Times New Roman" w:cs="Times New Roman"/>
          <w:b w:val="0"/>
          <w:bCs w:val="0"/>
          <w:szCs w:val="24"/>
        </w:rPr>
      </w:r>
    </w:p>
    <w:p>
      <w:pPr>
        <w:contextualSpacing/>
        <w:ind w:left="0" w:right="0" w:firstLine="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нарушение внешнего вида и содержания зданий, ограждений, строений, сооружений, элементов оборудования объектов благоустройства,  в том числе малых архитектурных форм, садово-парковой мебели, контейнеров, урн;</w:t>
      </w:r>
      <w:r>
        <w:rPr>
          <w:rFonts w:ascii="Times New Roman" w:hAnsi="Times New Roman" w:cs="Times New Roman"/>
          <w:b w:val="0"/>
          <w:bCs w:val="0"/>
          <w:szCs w:val="24"/>
        </w:rPr>
      </w:r>
      <w:r>
        <w:rPr>
          <w:rFonts w:ascii="Times New Roman" w:hAnsi="Times New Roman" w:cs="Times New Roman"/>
          <w:b w:val="0"/>
          <w:bCs w:val="0"/>
          <w:szCs w:val="24"/>
        </w:rPr>
      </w:r>
    </w:p>
    <w:p>
      <w:pPr>
        <w:contextualSpacing/>
        <w:ind w:left="0" w:right="0" w:firstLine="0"/>
        <w:jc w:val="both"/>
        <w:spacing w:before="0" w:beforeAutospacing="0" w:after="0" w:afterAutospacing="0" w:line="240" w:lineRule="auto"/>
        <w:shd w:val="clear" w:color="ffffff" w:fill="ffffff"/>
        <w:rPr>
          <w:rFonts w:ascii="Times New Roman" w:hAnsi="Times New Roman" w:cs="Times New Roman"/>
          <w:b w:val="0"/>
          <w:bCs w:val="0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ненадлежащее техническое состояние объектов капительного строительства (наличие свободного доступа, частичного разрушения), а также их ограждающих конструкций (ограждение полностью и (или) частично отсутствует).</w:t>
      </w:r>
      <w:r>
        <w:rPr>
          <w:rFonts w:ascii="Times New Roman" w:hAnsi="Times New Roman" w:cs="Times New Roman"/>
          <w:b w:val="0"/>
          <w:bCs w:val="0"/>
          <w:szCs w:val="24"/>
        </w:rPr>
      </w:r>
      <w:r>
        <w:rPr>
          <w:rFonts w:ascii="Times New Roman" w:hAnsi="Times New Roman" w:cs="Times New Roman"/>
          <w:b w:val="0"/>
          <w:bCs w:val="0"/>
          <w:szCs w:val="24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  <w:highlight w:val="none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К категории низкого риска – объекты контроля, не отнесенные к иной категории риска.</w:t>
      </w:r>
      <w:r>
        <w:rPr>
          <w:rFonts w:ascii="Times New Roman" w:hAnsi="Times New Roman" w:eastAsia="Times New Roman" w:cs="Times New Roman"/>
          <w:color w:val="181819"/>
          <w:sz w:val="24"/>
          <w:szCs w:val="24"/>
          <w:highlight w:val="white"/>
        </w:rPr>
        <w:t xml:space="preserve">»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  <w:highlight w:val="none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 по организационной работе,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0"/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0"/>
        <w:jc w:val="both"/>
        <w:spacing w:before="0" w:beforeAutospacing="0" w:after="0" w:afterAutospacing="0" w:line="240" w:lineRule="auto"/>
        <w:tabs>
          <w:tab w:val="left" w:pos="5850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</w:t>
        <w:tab/>
        <w:tab/>
        <w:tab/>
        <w:t xml:space="preserve"> В.Д. Бычкова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0"/>
        <w:jc w:val="both"/>
        <w:keepLines w:val="0"/>
        <w:spacing w:before="0" w:beforeAutospacing="0" w:after="0" w:afterAutospacing="0"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contextualSpacing/>
        <w:ind w:firstLine="708"/>
        <w:jc w:val="both"/>
        <w:spacing w:before="0" w:beforeAutospacing="0" w:after="0" w:afterAutospacing="0" w:line="240" w:lineRule="auto"/>
        <w:rPr>
          <w:rFonts w:ascii="Times New Roman" w:hAnsi="Times New Roman" w:cs="Times New Roman"/>
          <w:color w:val="000000"/>
          <w:sz w:val="24"/>
          <w:szCs w:val="24"/>
        </w:rPr>
        <w:suppressLineNumbers w:val="0"/>
      </w:pPr>
      <w:r>
        <w:rPr>
          <w:rFonts w:ascii="Times New Roman" w:hAnsi="Times New Roman" w:cs="Times New Roman"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color w:val="000000"/>
          <w:sz w:val="24"/>
          <w:szCs w:val="24"/>
          <w:highlight w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4090202050204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link w:val="6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link w:val="684"/>
    <w:uiPriority w:val="35"/>
    <w:rPr>
      <w:b/>
      <w:bCs/>
      <w:color w:val="4f81bd" w:themeColor="accent1"/>
      <w:sz w:val="18"/>
      <w:szCs w:val="18"/>
    </w:rPr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List Bulle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HTML Preformatted"/>
    <w:pPr>
      <w:contextualSpacing w:val="0"/>
      <w:ind w:left="0" w:right="0" w:firstLine="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eastAsia="Times New Roman" w:cs="Courier New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8" w:customStyle="1">
    <w:name w:val="ConsPlusNormal"/>
    <w:uiPriority w:val="99"/>
    <w:pPr>
      <w:contextualSpacing w:val="0"/>
      <w:ind w:left="0" w:right="0" w:firstLine="72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paragraph" w:styleId="839" w:customStyle="1">
    <w:name w:val="Без интервала1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zh-CN" w:bidi="ar-SA"/>
      <w14:ligatures w14:val="none"/>
    </w:rPr>
  </w:style>
  <w:style w:type="character" w:styleId="840" w:customStyle="1">
    <w:name w:val="Гиперссылка"/>
    <w:rPr>
      <w:color w:val="0000ff"/>
      <w:u w:val="single"/>
    </w:rPr>
  </w:style>
  <w:style w:type="paragraph" w:styleId="1_634" w:customStyle="1">
    <w:name w:val="ConsTitle"/>
    <w:next w:val="939"/>
    <w:link w:val="928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 w:color="000000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Arial"/>
      <w:b/>
      <w:bCs/>
      <w:i w:val="0"/>
      <w:iCs w:val="0"/>
      <w:caps w:val="0"/>
      <w:smallCaps w:val="0"/>
      <w:strike w:val="0"/>
      <w:vanish w:val="0"/>
      <w:color w:val="auto"/>
      <w:spacing w:val="0"/>
      <w:position w:val="0"/>
      <w:sz w:val="16"/>
      <w:szCs w:val="16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6</cp:revision>
  <dcterms:modified xsi:type="dcterms:W3CDTF">2025-05-30T06:35:52Z</dcterms:modified>
</cp:coreProperties>
</file>