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6"/>
        <w:jc w:val="center"/>
        <w:spacing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Российская Федерация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6"/>
        <w:jc w:val="center"/>
        <w:spacing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Иркутская область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6"/>
        <w:jc w:val="center"/>
        <w:spacing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Муниципальное образование 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Тайшетский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район»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6"/>
        <w:jc w:val="center"/>
        <w:spacing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Тайшетское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муниципальное образование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6"/>
        <w:jc w:val="center"/>
        <w:spacing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«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Тайшетское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городское поселение»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6"/>
        <w:jc w:val="center"/>
        <w:spacing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Дума 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Тайшетского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городского поселения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6"/>
        <w:jc w:val="center"/>
        <w:spacing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(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Пятый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созыв)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jc w:val="center"/>
        <w:spacing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Е Ш Е Н И Е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6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pStyle w:val="836"/>
        <w:contextualSpacing w:val="0"/>
        <w:jc w:val="both"/>
        <w:spacing w:after="0" w:afterAutospacing="0" w:line="240" w:lineRule="auto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От 29.05.2025 г.</w:t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  <w:tab/>
        <w:t xml:space="preserve">г.Тайшет</w:t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  <w:tab/>
        <w:tab/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№ 154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pStyle w:val="836"/>
        <w:jc w:val="center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ind w:right="4876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 внесении изменений в Положение о муниципальном контроле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на территории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 образовании 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поселение», утверждённое решением Думы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от 23 декабря 2021 года № 267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 целях приведения муниципального нормативного правового акта в соответствие с действующим законодательством, руководствуясь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Федеральным законом от 31 июля 2020 года №248-ФЗ «О государственном контроле (надзоре) и муниципальном контроле в Российской Федерации»,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статьями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6, 7.1, 31, 47 Устава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 образования 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поселение», Дума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firstLine="0"/>
        <w:jc w:val="both"/>
        <w:spacing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РЕШИЛА: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1. Внести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Положение о муниципальном контроле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на территории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 образовании 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поселение», утверждённое решением Думы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от 23 декабря 2021 года № 267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(в редакции решения Думы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городского поселения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от 21 июля 2022 года №308)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,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следующие изменения: 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1.1. 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пункт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1.8 отменить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;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1.2.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раз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дел 2 изложить в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следующ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ей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редакции: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left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</w:rPr>
        <w:t xml:space="preserve">«</w:t>
      </w:r>
      <w:r>
        <w:rPr>
          <w:rFonts w:ascii="Times New Roman" w:hAnsi="Times New Roman" w:eastAsia="Times New Roman" w:cs="Times New Roman"/>
          <w:bCs/>
          <w:color w:val="000000"/>
          <w:sz w:val="24"/>
          <w:szCs w:val="24"/>
          <w:highlight w:val="none"/>
        </w:rPr>
        <w:t xml:space="preserve">2. </w:t>
      </w:r>
      <w:r>
        <w:rPr>
          <w:rFonts w:ascii="Times New Roman" w:hAnsi="Times New Roman" w:eastAsia="Times New Roman" w:cs="Times New Roman"/>
          <w:bCs/>
          <w:color w:val="000000"/>
          <w:sz w:val="24"/>
          <w:szCs w:val="24"/>
          <w:highlight w:val="white"/>
        </w:rPr>
        <w:t xml:space="preserve">Управление рисками причинения вреда (ущерба) охраняемым законом ценностям при осуществлении муниципального контроля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2.1. Адм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инистрация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осуществляет муниципальный контроль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на основе управления рисками причинения вреда (ущерба).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2.2.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ля целей управления рисками причинения вреда (ущерба) при осуществлении муниципального контроля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относятся объекты контроля к одной из следующих категорий риска причинения вреда (ущерба) (далее - категории риска):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1) средний риск;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2) умеренный риск;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3) низкий риск.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2.3. Отнесение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ией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на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автомобильном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транспорте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городском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 н</w:t>
      </w:r>
      <w:r>
        <w:rPr>
          <w:rFonts w:ascii="Times New Roman" w:hAnsi="Times New Roman" w:eastAsia="Times New Roman" w:cs="Times New Roman"/>
          <w:bCs/>
          <w:color w:val="000000" w:themeColor="text1"/>
          <w:sz w:val="24"/>
          <w:szCs w:val="24"/>
        </w:rPr>
        <w:t xml:space="preserve">аземном электрическом транспорте и в дорожном хозяйстве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 определенной категории риска осуществляется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соглас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но приложению № 2 к настоящему Положению 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fldChar w:fldCharType="begin"/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instrText xml:space="preserve">HYPERLINK "file:///\\\\192.168.0.251\\Institut1\\Основные%20направления%20работы%20Института\\Модельные%20акты\\Проекты%20модельных%20актов\\Модельные%20типовые%20документы\\_blank" \l "_blank"</w:instrTex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fldChar w:fldCharType="separate"/>
      </w:r>
      <w:r>
        <w:rPr>
          <w:rStyle w:val="839"/>
          <w:rFonts w:ascii="Times New Roman" w:hAnsi="Times New Roman" w:eastAsia="Times New Roman" w:cs="Times New Roman"/>
          <w:color w:val="000000"/>
          <w:sz w:val="24"/>
          <w:szCs w:val="24"/>
          <w:highlight w:val="white"/>
          <w:u w:val="none"/>
        </w:rPr>
        <w:t xml:space="preserve">К</w:t>
      </w:r>
      <w:r>
        <w:rPr>
          <w:rStyle w:val="839"/>
          <w:rFonts w:ascii="Times New Roman" w:hAnsi="Times New Roman" w:eastAsia="Times New Roman" w:cs="Times New Roman"/>
          <w:color w:val="000000"/>
          <w:sz w:val="24"/>
          <w:szCs w:val="24"/>
          <w:highlight w:val="white"/>
          <w:u w:val="none"/>
        </w:rPr>
        <w:t xml:space="preserve">ритери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fldChar w:fldCharType="end"/>
      </w:r>
      <w:r>
        <w:rPr>
          <w:rStyle w:val="839"/>
          <w:rFonts w:ascii="Times New Roman" w:hAnsi="Times New Roman" w:eastAsia="Times New Roman" w:cs="Times New Roman"/>
          <w:color w:val="000000"/>
          <w:sz w:val="24"/>
          <w:szCs w:val="24"/>
          <w:highlight w:val="white"/>
          <w:u w:val="none"/>
        </w:rPr>
        <w:t xml:space="preserve">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отнесения используемых гражданами, юридическими лицами и (или) индивидуальными предпринимателями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на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автомобильном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транспорте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городском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 н</w:t>
      </w:r>
      <w:r>
        <w:rPr>
          <w:rFonts w:ascii="Times New Roman" w:hAnsi="Times New Roman" w:eastAsia="Times New Roman" w:cs="Times New Roman"/>
          <w:bCs/>
          <w:color w:val="000000" w:themeColor="text1"/>
          <w:sz w:val="24"/>
          <w:szCs w:val="24"/>
        </w:rPr>
        <w:t xml:space="preserve">аземном электрическом транспорте и в дорожном хозяйстве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».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Отнес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ение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на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автомобильном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транспорте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городском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 н</w:t>
      </w:r>
      <w:r>
        <w:rPr>
          <w:rFonts w:ascii="Times New Roman" w:hAnsi="Times New Roman" w:eastAsia="Times New Roman" w:cs="Times New Roman"/>
          <w:bCs/>
          <w:color w:val="000000" w:themeColor="text1"/>
          <w:sz w:val="24"/>
          <w:szCs w:val="24"/>
        </w:rPr>
        <w:t xml:space="preserve">аземном электрическом транспорте и в дорожном хозяйстве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 изменение присвоенным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объектам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категорий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осуществляется распоряжением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При отнесении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контрольным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орган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ом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объектов контроля к категориям риска используются в том числе: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1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) сведения, получаемые при проведении должностными лицами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профилактических мероприятий в соответствии с разделом 3 настоящего Положения;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) иные сведения,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имеющиеся в распоряжении контрольного органа.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2.4.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Проведение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контрольным органом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плановых контрольных мероприятий в отношении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на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автомобильном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транспорте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городском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 н</w:t>
      </w:r>
      <w:r>
        <w:rPr>
          <w:rFonts w:ascii="Times New Roman" w:hAnsi="Times New Roman" w:eastAsia="Times New Roman" w:cs="Times New Roman"/>
          <w:bCs/>
          <w:color w:val="000000" w:themeColor="text1"/>
          <w:sz w:val="24"/>
          <w:szCs w:val="24"/>
        </w:rPr>
        <w:t xml:space="preserve">аземном электрическом транспорте и в дорожном хозяйстве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не осуществляется.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Периоди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чность проведения обязательного профилактического визита в отношении объектов контроля, отнесенных к категории среднего и умеренного риска, определяется Правительством Российской Федерации.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отношении объектов контроля, отнесенных к категории низкого риска, 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бязательный профилактический визит не проводится.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По запросу правообладателя объекта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должностные лица в срок не превышающий 15 дней со дня поступления запроса, предоставляют ему информацию о присвоенной объекту контроля категории риска, а также сведения, использованные при отнесении объекта контроля к определенной категории риска.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Правообладатель объекта контроля вправе подать в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дминистрацию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заявление об изменении присвоенной ранее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объекту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категории риска.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2.6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Администрация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ведет перечни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объектов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, которым присвоены категории риска (далее – перечни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объектов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). Включение объектов контроля в перечни объектов осуществляется в соответствии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 распоряжением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, указанным в пункте 2.3 настоящего Положения.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Перечни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на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автомобильном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транспорте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городском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 н</w:t>
      </w:r>
      <w:r>
        <w:rPr>
          <w:rFonts w:ascii="Times New Roman" w:hAnsi="Times New Roman" w:eastAsia="Times New Roman" w:cs="Times New Roman"/>
          <w:bCs/>
          <w:color w:val="000000" w:themeColor="text1"/>
          <w:sz w:val="24"/>
          <w:szCs w:val="24"/>
        </w:rPr>
        <w:t xml:space="preserve">аземном электрическом транспорте и в дорожном хозяйстве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с указанием категорий риска размещаются на официальном сайте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 информационно-телекоммуникационной сети «Интернет» (далее – официальный сайт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) в специальном разделе, посвященном контрольной деятельности.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Доступ к специальному разделу должен осуществляться с главной (основной) страницы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официального сайта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7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Перечни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на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автомобильном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транспорте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городском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 н</w:t>
      </w:r>
      <w:r>
        <w:rPr>
          <w:rFonts w:ascii="Times New Roman" w:hAnsi="Times New Roman" w:eastAsia="Times New Roman" w:cs="Times New Roman"/>
          <w:bCs/>
          <w:color w:val="000000" w:themeColor="text1"/>
          <w:sz w:val="24"/>
          <w:szCs w:val="24"/>
        </w:rPr>
        <w:t xml:space="preserve">аземном электрическом транспорте и в дорожном хозяйстве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содержат следующую информацию: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1)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информация, идентифицирующая объект контроля;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2) присвоенная категория риска;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3) реквизиты решения о присвоении объекту контроля категории риска.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»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left="0" w:right="0"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  <w:shd w:val="clear" w:color="auto" w:fill="ffffff"/>
        </w:rPr>
        <w:t xml:space="preserve">1.3.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пункт 3.5 раздела 3 изложить в следующей редакции: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3.5. При осуществлении администрацией муниципального контроля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на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автомобильном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транспорте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городском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 н</w:t>
      </w:r>
      <w:r>
        <w:rPr>
          <w:rFonts w:ascii="Times New Roman" w:hAnsi="Times New Roman" w:eastAsia="Times New Roman" w:cs="Times New Roman"/>
          <w:bCs/>
          <w:color w:val="000000" w:themeColor="text1"/>
          <w:sz w:val="24"/>
          <w:szCs w:val="24"/>
        </w:rPr>
        <w:t xml:space="preserve">аземном электрическом транспорте и в дорожном хозяйстве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могут проводиться следующие виды профилактических мероприятий: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1) информирование;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)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консультирование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;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3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)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объявление предостережения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;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4)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профилактический визит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.»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  <w:shd w:val="clear" w:color="auto" w:fill="ffffff"/>
        </w:rPr>
        <w:t xml:space="preserve">1.4.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абзац 3 пункта 3.6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раздела 3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изложить в следующей редакции: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Администрация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также вправе информировать население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айшетского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муниципального образования 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i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на собраниях и конференциях граждан об обязательн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ых требованиях, предъявляемых к объектам контроля, их соответствии критериям риска, а также о видах, содержании и об интенсивности контрольных мероприятий, проводимых в отношении объектов контроля, исходя из их отнесения к соответствующей категории риска.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</w:rPr>
        <w:t xml:space="preserve">1.5.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раздел 3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дополнить 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пунктами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3.9., 3.10. 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следующего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 содержания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: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«3.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9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случае наличия у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сведений о готовящихся нарушениях обязательных требований или признаках н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Предостере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 №248-ФЗ, и должно содержать указание на соответствующие обязательные требования, предусматривающий их н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 содержать требование представления контролируемым лицом сведений и документов, сроки для устранения последствий, возникших в результате действий (бездействия) контролируемого лица, которые могут привести или приводят к нарушению обязательных требований. 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Должностные лица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существля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ю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 учет объявленных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дминистрацией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предостережений о недопустимости нарушения обязательных требований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 журнале учета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и использу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ю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 соответствующие данные для проведения иных профилактических мероприятий и контрольных (надзорных) мероприятий.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Контролируемое лицо вправе после получения предостережения о недопустимости нарушения обязательных требований подать в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дминистрацию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возражение в отношении указанного предостережения в срок не позднее 30 дней со дня получения им предостережения. Возражение рассматривается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министрацией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 течение 30 дней со дня его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регистрации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В результате рассмотрения возражения контролируемому лицу направляется ответ с информацией о согласии или несогласии с возражением.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случае принятия представленных в возражении контролируемого лица доводов направленное ранее предостережение аннулируется должностным лицом с соответствующей отметкой в журнале учета объявленных предостережений.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Информация о несогласии с возражением или об аннулировании предостережения направляется в адрес контролируемого лица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форме электр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онного документа по адресу электронной почты, указанному в возражении, поступившем в контрольный орган в форме электронного документа, или в письменной форме по почтовому адресу, указанному в возражении, поступившем в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дминистрацию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 письменной форме. 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3.10.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или мобильного приложения «Инспектор»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ходе профилактического визита контролируемое лицо информируется об обязательных требованиях, предъявляемых к его деят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ельности либо к принадлежащим ему объектам контроля, их соответствии критериям риска, о рекомендуемых способах снижения категории риска, видах, содержании и об интенсивности мероприятий, проводимых в отношении объекта контроля исходя из его отнесения к соо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тветствующей категории риска, а должностное лицо осуществляет ознакомление с объектом контроля, сбор сведений, необходимых для отнесения объектов контроля к категориям риска, и проводит оценку уровня соблюдения контролируемым лицом обязательных требований.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Профилактический визит проводится по инициативе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(обязательный профилактический визит) или по инициативе контролируемого лица. 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бязательный профилактический визит проводится в соответствии со статьей 5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2.1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Федерального закона №248-ФЗ.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Профилактический виз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ит по инициативе контролируемого лица может быть проведен по его заявлению, если такое лицо относится к субъектам малого предпринимательства, является социально ориентированной некоммерческой организацией либо государственным или муниципальным учреждением.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Проведение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п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рофилактического визита по инициативе контролируемого лица осуществляется в соответствии со статьей 52.2 Федерального закона № 248-ФЗ.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1.6. пункт 4.3.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раздела 4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изложить в следующей редакции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: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4.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нтрольны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мероприяти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осуществляются по основаниям, предусмотренным пунктами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, 3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– 5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,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7, 9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части 1 статьи 57 Федерального закона № 248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-ФЗ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1.7. дополнить приложением 2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(прилагается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)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2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. Администрации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 опубликовать настоящее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решение Думы в официальных средствах массовой информации.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3. Н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астоящее решение вступает в силу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после дня его опубликовани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я.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left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Председатель Думы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lef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П.В. Терещенко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lef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lef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left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Глава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с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lef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образования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городско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е»</w:t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  <w:t xml:space="preserve">Р.О. Леоненко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 w:eastAsiaTheme="minorHAnsi"/>
          <w:sz w:val="24"/>
          <w:szCs w:val="24"/>
          <w:lang w:eastAsia="en-US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 w:eastAsiaTheme="minorHAnsi"/>
          <w:sz w:val="24"/>
          <w:szCs w:val="24"/>
          <w:lang w:eastAsia="en-US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 w:eastAsiaTheme="minorHAnsi"/>
          <w:sz w:val="24"/>
          <w:szCs w:val="24"/>
          <w:lang w:eastAsia="en-US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 w:eastAsiaTheme="minorHAnsi"/>
          <w:sz w:val="24"/>
          <w:szCs w:val="24"/>
          <w:lang w:eastAsia="en-US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7"/>
        <w:ind w:firstLine="0"/>
        <w:jc w:val="right"/>
        <w:spacing w:after="0" w:afterAutospacing="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7"/>
        <w:ind w:firstLine="0"/>
        <w:jc w:val="right"/>
        <w:spacing w:after="0" w:afterAutospacing="0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 решению </w:t>
      </w:r>
      <w:r/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Думы 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7"/>
        <w:ind w:firstLine="0"/>
        <w:jc w:val="right"/>
        <w:spacing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городского поселения</w:t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pStyle w:val="836"/>
        <w:jc w:val="right"/>
        <w:spacing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от 29 мая 202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года  №154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righ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«Приложение 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2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right"/>
        <w:spacing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к Положению о муниципальном контроле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ind w:firstLine="720"/>
        <w:jc w:val="right"/>
        <w:spacing w:after="0" w:afterAutospacing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Cs/>
          <w:color w:val="000000"/>
          <w:sz w:val="24"/>
          <w:szCs w:val="24"/>
          <w:lang w:eastAsia="zh-CN"/>
        </w:rPr>
        <w:t xml:space="preserve">на автомобильном транспорте, городском наземном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</w:r>
      <w:r>
        <w:rPr>
          <w:rFonts w:ascii="Times New Roman" w:hAnsi="Times New Roman" w:cs="Times New Roman"/>
          <w:bCs/>
          <w:color w:val="000000"/>
          <w:sz w:val="24"/>
          <w:szCs w:val="24"/>
        </w:rPr>
      </w:r>
    </w:p>
    <w:p>
      <w:pPr>
        <w:contextualSpacing/>
        <w:ind w:firstLine="720"/>
        <w:jc w:val="right"/>
        <w:spacing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Cs/>
          <w:color w:val="000000"/>
          <w:sz w:val="24"/>
          <w:szCs w:val="24"/>
          <w:lang w:eastAsia="zh-CN"/>
        </w:rPr>
        <w:t xml:space="preserve">транспорте</w:t>
      </w:r>
      <w:r>
        <w:rPr>
          <w:rFonts w:ascii="Times New Roman" w:hAnsi="Times New Roman" w:eastAsia="Times New Roman" w:cs="Times New Roman"/>
          <w:bCs/>
          <w:color w:val="000000"/>
          <w:sz w:val="24"/>
          <w:szCs w:val="24"/>
          <w:lang w:eastAsia="zh-CN"/>
        </w:rPr>
        <w:t xml:space="preserve"> и в дорожном хозяйстве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jc w:val="right"/>
        <w:spacing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на территории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Тайшетского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 муниципального образования 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jc w:val="righ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«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Тайшетское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, 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утвержденному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righ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решением Думы 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 городского поселения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right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от 23 декабря 2021 года №267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540"/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 w:eastAsiaTheme="minorHAnsi"/>
          <w:sz w:val="24"/>
          <w:szCs w:val="24"/>
          <w:lang w:eastAsia="en-US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left="0" w:right="0" w:firstLine="0"/>
        <w:jc w:val="center"/>
        <w:keepLines w:val="0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Критерии  отнесения используемых гражданами, юридическими лицами и (или) индивидуальными предпринимателями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на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автомобильном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транспорте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городском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 н</w:t>
      </w:r>
      <w:r>
        <w:rPr>
          <w:rFonts w:ascii="Times New Roman" w:hAnsi="Times New Roman" w:eastAsia="Times New Roman" w:cs="Times New Roman"/>
          <w:bCs/>
          <w:color w:val="000000" w:themeColor="text1"/>
          <w:sz w:val="24"/>
          <w:szCs w:val="24"/>
        </w:rPr>
        <w:t xml:space="preserve">аземном электрическом транспорте и в дорожном хозяйстве</w:t>
      </w:r>
      <w:r>
        <w:rPr>
          <w:rFonts w:ascii="Times New Roman" w:hAnsi="Times New Roman" w:eastAsia="Times New Roman" w:cs="Times New Roman"/>
          <w:bCs/>
          <w:color w:val="000000" w:themeColor="text1"/>
          <w:sz w:val="24"/>
          <w:szCs w:val="24"/>
        </w:rPr>
        <w:t xml:space="preserve">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</w:p>
    <w:p>
      <w:pPr>
        <w:contextualSpacing/>
        <w:ind w:left="0" w:right="0" w:firstLine="0"/>
        <w:jc w:val="center"/>
        <w:keepLines w:val="0"/>
        <w:spacing w:after="0" w:afterAutospacing="0" w:line="240" w:lineRule="auto"/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non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cs="Times New Roman"/>
          <w:color w:val="181819"/>
          <w:sz w:val="24"/>
          <w:szCs w:val="24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</w:rPr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К категории среднего риска – контролируемые лица, деятельности которых присвоена категория умеренного риска, при наличии неоднократного нарушения обязательных требований в течение предшествующих 3 лет, выявленных контрольным органом при проведении контр</w:t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ольных мероприятий, в том числе выявленных по результатам проведения проф</w:t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илактического визита, а также информации содержащейся в обращениях граждан и иных лиц.</w:t>
      </w:r>
      <w:r>
        <w:rPr>
          <w:rFonts w:ascii="Times New Roman" w:hAnsi="Times New Roman" w:cs="Times New Roman"/>
          <w:color w:val="181819"/>
          <w:sz w:val="24"/>
          <w:szCs w:val="24"/>
          <w:highlight w:val="white"/>
        </w:rPr>
      </w:r>
      <w:r>
        <w:rPr>
          <w:rFonts w:ascii="Times New Roman" w:hAnsi="Times New Roman" w:cs="Times New Roman"/>
          <w:color w:val="181819"/>
          <w:sz w:val="24"/>
          <w:szCs w:val="24"/>
          <w:highlight w:val="whit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cs="Times New Roman"/>
          <w:color w:val="181819"/>
          <w:sz w:val="24"/>
          <w:szCs w:val="24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К категории умеренного риска:</w:t>
      </w:r>
      <w:r>
        <w:rPr>
          <w:rFonts w:ascii="Times New Roman" w:hAnsi="Times New Roman" w:cs="Times New Roman"/>
          <w:color w:val="181819"/>
          <w:sz w:val="24"/>
          <w:szCs w:val="24"/>
          <w:highlight w:val="white"/>
        </w:rPr>
      </w:r>
      <w:r>
        <w:rPr>
          <w:rFonts w:ascii="Times New Roman" w:hAnsi="Times New Roman" w:cs="Times New Roman"/>
          <w:color w:val="181819"/>
          <w:sz w:val="24"/>
          <w:szCs w:val="24"/>
          <w:highlight w:val="whit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1) контролируемые лица, п</w:t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ри наличии однократного нарушения обяз</w:t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ательных требований в течение предшествующих 3 лет, выявленных контрольным органом при проведении контрольных мероприятий, в том числе выявленных по результатам проведения профилактического визита, а также информации, содержащейся в обращениях граждан и ин</w:t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ых лиц;</w:t>
      </w:r>
      <w:r>
        <w:rPr>
          <w:rFonts w:ascii="Times New Roman" w:hAnsi="Times New Roman" w:cs="Times New Roman"/>
          <w:color w:val="181819"/>
          <w:sz w:val="24"/>
          <w:szCs w:val="24"/>
          <w:highlight w:val="whit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2) контролируемые лица, деятельность которых связана с капитальным ремонтом, ремонтом и содержанием автомобильных дорог общего пользования и искусственных дорожных сооружений на них (включая требования к дорожно-строительным материалам и изделиям) </w:t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в части обеспечения сохранности автомобильных дорог; </w:t>
      </w:r>
      <w:r>
        <w:rPr>
          <w:rFonts w:ascii="Times New Roman" w:hAnsi="Times New Roman" w:cs="Times New Roman"/>
          <w:color w:val="181819"/>
          <w:sz w:val="24"/>
          <w:szCs w:val="24"/>
          <w:highlight w:val="whit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3) подъезды, съезды, примыкания, объекты дорожного сервиса (автозаправочные станции, автостанции, автовокзалы, гостиницы, кемпинги, мотели, пункты общественного питания, станции технического обслуживания</w:t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, подобные объекты, а также необходимые для их функционирования места отдыха и стоянки транспортных средств).</w:t>
      </w:r>
      <w:r>
        <w:rPr>
          <w:rFonts w:ascii="Times New Roman" w:hAnsi="Times New Roman" w:cs="Times New Roman"/>
          <w:color w:val="181819"/>
          <w:sz w:val="24"/>
          <w:szCs w:val="24"/>
          <w:highlight w:val="white"/>
        </w:rPr>
      </w:r>
    </w:p>
    <w:p>
      <w:pPr>
        <w:contextualSpacing/>
        <w:ind w:firstLine="720"/>
        <w:jc w:val="both"/>
        <w:spacing w:after="0" w:afterAutospacing="0" w:line="240" w:lineRule="auto"/>
        <w:rPr>
          <w:rFonts w:ascii="Times New Roman" w:hAnsi="Times New Roman" w:cs="Times New Roman"/>
          <w:color w:val="181819"/>
          <w:sz w:val="24"/>
          <w:szCs w:val="24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К категории низкого риска – объекты контроля, не отнесенные к иной категории риска.</w:t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»</w:t>
      </w:r>
      <w:r/>
      <w:r/>
    </w:p>
    <w:p>
      <w:pPr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0"/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Начальник отдела по организационной работе,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0"/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контролю и делопроизводству администрации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 городского поселения </w:t>
        <w:tab/>
        <w:tab/>
        <w:tab/>
        <w:t xml:space="preserve"> В.Д. Бычкова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Courier New">
    <w:panose1 w:val="020704090202050204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link w:val="68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link w:val="684"/>
    <w:uiPriority w:val="35"/>
    <w:rPr>
      <w:b/>
      <w:bCs/>
      <w:color w:val="4f81bd" w:themeColor="accent1"/>
      <w:sz w:val="18"/>
      <w:szCs w:val="18"/>
    </w:rPr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  <w:style w:type="paragraph" w:styleId="836" w:customStyle="1">
    <w:name w:val="HTML Preformatted"/>
    <w:pPr>
      <w:contextualSpacing w:val="0"/>
      <w:ind w:left="0" w:right="0" w:firstLine="0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ourier New" w:hAnsi="Courier New" w:eastAsia="Times New Roman" w:cs="Courier New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37" w:customStyle="1">
    <w:name w:val="ConsPlusNormal"/>
    <w:uiPriority w:val="99"/>
    <w:pPr>
      <w:contextualSpacing w:val="0"/>
      <w:ind w:left="0" w:right="0" w:firstLine="72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zh-CN" w:bidi="ar-SA"/>
      <w14:ligatures w14:val="none"/>
    </w:rPr>
  </w:style>
  <w:style w:type="paragraph" w:styleId="838" w:customStyle="1">
    <w:name w:val="Без интервала1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Times New Roman" w:cs="Calibr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zh-CN" w:bidi="ar-SA"/>
      <w14:ligatures w14:val="none"/>
    </w:rPr>
  </w:style>
  <w:style w:type="character" w:styleId="839" w:customStyle="1">
    <w:name w:val="Гиперссылка"/>
    <w:rPr>
      <w:color w:val="0000ff"/>
      <w:u w:val="single"/>
    </w:rPr>
  </w:style>
  <w:style w:type="paragraph" w:styleId="840" w:customStyle="1">
    <w:name w:val="ConsPlusTitle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Calibri" w:cs="Calibri"/>
      <w:b/>
      <w:bCs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zh-CN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6</cp:revision>
  <dcterms:modified xsi:type="dcterms:W3CDTF">2025-05-30T06:55:13Z</dcterms:modified>
</cp:coreProperties>
</file>