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Российская Федерация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Иркутская область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Муниципальное образование 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Тайшетский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муниципальное образование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городское поселение»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Дума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Тайшетского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городского поселения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Пятый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созыв)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Е Ш Е Н И 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7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contextualSpacing w:val="0"/>
        <w:jc w:val="left"/>
        <w:spacing w:after="0" w:afterAutospacing="0" w:line="240" w:lineRule="auto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29.05.202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г. </w:t>
        <w:tab/>
        <w:tab/>
        <w:tab/>
        <w:tab/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</w:t>
        <w:tab/>
        <w:tab/>
        <w:tab/>
        <w:tab/>
        <w:tab/>
        <w:t xml:space="preserve">№155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ind w:right="498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 внесении изменений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Положение о муниципальном жилищном контроле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образовании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25 ноября 2021 года №250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837"/>
        <w:ind w:right="498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целях приведения муниципального нормативного правового акта в соответствие с действующим законодательством, руководствуясь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31 июля 2020 года № 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статьями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6, 7.1, 31, 47 Устава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образования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Дума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0"/>
        <w:jc w:val="both"/>
        <w:spacing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ЕШИЛА: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ind w:firstLine="0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1. Внести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Положение о муниципальном жилищном контроле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Тайшетском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муниципальном образовании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городское поселение»,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утверждённо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решением Думы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от 25 ноября 2021 года №250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(в редакции решения Думы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от 21 июля 2022 года №309)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bookmarkStart w:id="0" w:name="undefined"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bookmarkEnd w:id="0"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следующие изменения: 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left="707" w:firstLine="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  <w:shd w:val="clear" w:color="auto" w:fill="ffffff"/>
        </w:rPr>
        <w:t xml:space="preserve">1.1.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пункт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1.8 отменить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1.2.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дополнить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Положение раз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делом 1(1), изложив его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следующ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редакции: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left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«Раздел 1(1). Упра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вление рисками причинения вреда (ущерба)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охраняемым законом ценностям при осуществлении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муниципального жилищного контроля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.1. Администрация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осуществляет муниципальный жилищный контроль на основе управления рисками причинения вреда (ущерба).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.2.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Администрация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д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ля целей управления рисками причинения вреда (ущерба) при осуществлении муниципального жилищного контроля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относит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объекты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муниципального жилищного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предусмотренны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пунктом 1.6 настоящего Положения (далее – объекты контроля)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одной из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следующих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категори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й риска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причинения вреда (ущерба) (далее – категории риска)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1) средний риск;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2) умеренный риск;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3) низкий риск.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.3. Отнесение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администрацией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критериями отнесения объектов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контроля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 определенной категории риска при осуществлении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администрацией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муниципально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го жилищного контроля согласно П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риложению № 2 к настоящему Положению.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Отнесение объектов контроля к категориям риска и изменение присвоенных объектам контроля категорий риска осуществляется распоряжением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администрации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При отнесении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администрацией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объектов контроля к категориям риска используются в том числе: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сведения, получаемые при проведении должностными лицами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профилактических мероприятий в соответствии с разделом 2 настоящего Положения;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иные сведения,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имеющиеся в распоряжении контрольного органа.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.4.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лановые контрольные мероприятия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при осуществлении муниципального жилищного контроля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не проводятся.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.5. Периодичность проведения обязательных профилактических визитов в отношении объектов контроля, отнесенных к категории среднего и умеренного риска, определяется Правительством Российской Федерации.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В отношении объектов контроля, отнесенных к категории низкого риска, обязательные профилактические визиты не проводятся.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.6. По запросу правообладат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еля объекта контроля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должностное лицо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в срок не превышающий 15 дней со дня поступления запроса, предоставляет ему информацию о присвоенной объекту контроля категории риска, а также сведения, использованные при отнесении такого объекта к определенной категории риска.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Правообладатель объекта контроля вправе подать в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администрацию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заявление об изменении присвоенной ранее объекту контроля категории риска.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.7. 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дминистрация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ведет перечни объектов контроля, которым присвоены категории риска (далее – перечни объектов контроля). Включение объектов контроля в перечни объектов контроля осуществляется в соответствии с распоряжением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администрации,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указанным в пункте 1(1)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.3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настоящего Положения.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sz w:val="24"/>
          <w:szCs w:val="24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Перечни объектов контроля с указанием категорий риска размещаются на официальном сайте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в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информационно-телекоммуникационной сети «Интернет» (далее – официальный сайт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в специальном разделе, посвященном контрольной деятельности.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  <w:shd w:val="clear" w:color="auto" w:fill="ffffff"/>
        </w:rPr>
        <w:t xml:space="preserve"> Доступ к специальному разделу должен осуществляться с главной (основной) страницы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официального сайта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администрации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sz w:val="24"/>
          <w:szCs w:val="24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1(1)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.8. Перечни объектов контроля содержат следующую информацию: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1) информация, идентифицирующая объект контроля;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2) присвоенная категория риска;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3) реквизиты решения о присвоении объекту контроля категории риска.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1.3.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абзац 2 пункта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.4.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В случае если при проведении профила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 незамедлительно направляет информацию об этом главе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городское поселение» (далее – Глава) для принятия решения о проведении контрольных мероприятий,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либо в случаях, предусмотренных Федеральным законом № 248-ФЗ, принимает меры, указанные в статье 90  Федерального закона № 248-ФЗ.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1.4. пункт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2.5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изложить в следующей редакции: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«2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.5. При осуществлении администрацией муниципального жилищного контроля могут проводиться следующие виды профилактических мероприятий: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1) информирование;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консультиров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ние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объявление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дост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ережения;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4)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профилактический визит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  <w:shd w:val="clear" w:color="auto" w:fill="ffffff"/>
        </w:rPr>
        <w:t xml:space="preserve">1.5.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абзац 3 пункта 2.6.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Администрация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также вправе информировать население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b w:val="0"/>
          <w:bCs w:val="0"/>
          <w:i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на собраниях и конференциях граждан об обязательн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объектов контроля, исходя из их отнесения к соответствующей категории риска.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1.6. 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раздел 2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дополнить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пунктами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2.9., 2.10.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следующего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 содержания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2.9. В случае наличия у администрации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сведений о готовящихся нарушениях обязательных требований или признаках 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объявляет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№248-ФЗ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, и должно содержать указание на соответствующие обязательные требовани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нных требований и не может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обязательных требований.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Контролируемое лицо не позднее 15 рабочих дней после получения предостережения о недопустимости нарушения обязательных требований вправе подать 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администрацию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возражение в отношении указанного предостережения, в котором указываются: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1) наименование юридического лица; фамилия, имя, отчество (при наличии) физического лица; фамилия, имя, отчество (при наличии) индивидуального предпринимателя;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2) идентификационный номер налогоплательщика - контролируемого лица;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3) дата и номер предостережения, направленного в адрес контролируемого лица;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4) обоснование позиции контролируемого лица в отношении указанных в предостережении его действий (бездействия), которые приводят или могут привести к нарушению обязательных требований.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Возражение в отношении предостережения о недопустимости нарушения обязательных требований может быть подано кон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тролируемым лицом на бумажном носителе почтовым отправлением, в виде электронного документа на адрес электронной почты, указанный в предостережении о недопустимости нарушения обязательных требований, или иными указанными в таком предостережении способами.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Администрация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по итогам рассмотрения возражения в отношении предостережения о недопустимости нарушения обязательных требований направляет ответ контролируемому лицу в течение 20 рабочих дней со дня получения такого возражения.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Администрация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осуществляе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 учет объявленных предостережений о недопустимости нарушения обя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зательных требований и используе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 соответствующие данные для проведения иных профилактич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еских мероприятий и контрольных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мероприятий.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pStyle w:val="843"/>
        <w:contextualSpacing/>
        <w:ind w:firstLine="53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2.10.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Профилактический визит проводится в форме профилактической беседы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должностным лицом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по месту осуществления деятельности контролируемого лица либо путем использования видео-конференц-с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вязи или мобильного приложения 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Инспектор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должностное лицо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Профилактический визит проводится по инициативе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(обязательный профилактический визит) или по 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нициативе контролируемого лица.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Обязательный профилактический визит пров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одится в соответствии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br/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со статей 52.1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Федеральн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закон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№ 248-ФЗ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53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Профилактический виз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Проведение 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рофилактического визита по инициативе контролируемого лица осуществляется в соответствии со статьей 52.2 Федерального закона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№ 248-ФЗ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1.7.  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ункт 3.4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3.4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Ко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нтрольны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мероприяти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осуществляются по основаниям, предусмотренным пунктами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 3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– 5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7, 9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части 1 статьи 57 Федерального закона № 248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-ФЗ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9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1.8. 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ункт 3.7.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«3.7. В случае принятия распоряжения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администрации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о проведении контрольного мероприятия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на основании выявления соответствия объекта контроля параметрам деятельности контролируемого лица, утвержденным индикаторами риска нарушения обязательных требований, или отклонения объекта контроля от таких параметров,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такое распоряжение принимается на основании мотивированного представления должностного лица о проведении контрольного мероприятия.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t xml:space="preserve">1.9. п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ункт 3.14.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«3.14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По окончании проведения контрольного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мероприятия составляется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акт контрольного мероприятия.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В случае если по результатам проведения такого мероприятия выявлено нарушен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»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1.10. дополнить приложением 2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none"/>
        </w:rPr>
        <w:t xml:space="preserve">(прилагается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none"/>
        </w:rPr>
        <w:t xml:space="preserve">)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2. Администрации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городского поселения опубликовать настоящее решение Думы в официальных средствах массовой информации.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3. Настоящее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решение вступает в силу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после дня его опубликования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.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Председатель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П.В. Терещенко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 xml:space="preserve">Р.О. Леоненко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8"/>
        <w:jc w:val="both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8"/>
        <w:ind w:firstLine="0"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</w:t>
      </w:r>
      <w:r>
        <w:rPr>
          <w:rFonts w:ascii="Times New Roman" w:hAnsi="Times New Roman" w:cs="Times New Roman"/>
          <w:sz w:val="24"/>
          <w:szCs w:val="24"/>
        </w:rPr>
      </w:r>
      <w:r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Думы 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837"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 мая 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года №155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jc w:val="both"/>
        <w:spacing w:after="0" w:afterAutospacing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p>
      <w:pPr>
        <w:pStyle w:val="830"/>
        <w:contextualSpacing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«Приложение 2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contextualSpacing/>
        <w:jc w:val="righ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к Положению 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 жилищном контроле</w:t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Тайшетском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муниципальном образовании </w:t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утверждённому решением </w:t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25 ноября 2021 года № 250</w:t>
      </w:r>
      <w:r/>
      <w:r/>
    </w:p>
    <w:p>
      <w:pPr>
        <w:contextualSpacing/>
        <w:ind w:firstLine="708"/>
        <w:jc w:val="left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16"/>
          <w:szCs w:val="16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  <w:highlight w:val="none"/>
          <w:u w:val="none"/>
        </w:rPr>
      </w:r>
    </w:p>
    <w:p>
      <w:pPr>
        <w:contextualSpacing/>
        <w:ind w:firstLine="0"/>
        <w:jc w:val="center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Критерии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отнесения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объектов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контроля к определенной категории риска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при осуществлении администрацией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муниципального жилищного контроля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  <w:u w:val="none"/>
        </w:rPr>
      </w:r>
    </w:p>
    <w:p>
      <w:pPr>
        <w:contextualSpacing/>
        <w:ind w:firstLine="0"/>
        <w:jc w:val="center"/>
        <w:spacing w:after="0" w:afterAutospacing="0" w:line="240" w:lineRule="auto"/>
        <w:rPr>
          <w:rFonts w:ascii="Times New Roman" w:hAnsi="Times New Roman" w:eastAsia="Times New Roman" w:cs="Times New Roman"/>
          <w:b w:val="0"/>
          <w:bCs w:val="0"/>
          <w:sz w:val="16"/>
          <w:szCs w:val="16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  <w:highlight w:val="non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  <w:highlight w:val="none"/>
          <w:u w:val="non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По тяжести и масштабу потенциальных негативных последствий не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соблюдения контролируемыми лицами обязательных требований, указанных в подпунктах 1 – 12 пункта 1.2 настоящего Положения, деятельность контролируемых лиц, подлежащая муниципальному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жилищному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контролю, разделяется на группу тяжести «А» или «Б» (далее - группы тяжести).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К группе тяжести «А» относится деятельность юридических лиц и индивидуальных предпринимателей по управлению многоквартирными домами, оказанию услуг и (или) выполнению работ по содержанию и ремонту общего имущества в многокв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артирных домах в отношении многоквартирных домов, оборудованных лифтами и (или) централизованной системой газоснабжения, в том числе многоквартирных домов, в которых для производства услуг по горячему водоснабжению и (или) теплоснабжению используется газ.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В иных случаях деятельность контролируемых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лиц относится к группе тяжести «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Б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. 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С учетом оценки вероятности несоблюдения контролируемыми лицами обязательных требований, указанных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в подпунктах 1 – 12 пункта 1.2 настоящего Положения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, деятельность,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подлежащая муниципальному жилищному контролю,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разделяет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ся на группу вероятности «1»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или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» (далее - группы вероятности).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К группе вероятности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1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относится деятельность контролируемых лиц при наличии вступившего в законную силу в течение последних 3 лет на дату принятия решения об отнесении деятельности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контролируемого лица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к категории риска причинения вреда (ущерба) охраняемым законом ценностям постановления о назначении административного наказания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контролируемому лицу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за совершение административного правонарушения, предусмотренного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частью 1 статьи 19.4,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статьей 19.4.1,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частью 1 статьи 19.5, статьей 19.7 Кодекса Российской Федерации об ад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министративных правонарушениях.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К группе вероятности «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относится деятельность контролируемых лиц, у которых в течение последних 3 лет при проведении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внепланового контрольного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мероприятия не были выявлены нарушения об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язательных требований, указанные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в подпунктах 1 – 12 пункта 1.2 настоящего Положения.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u w:val="singl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Отнесение деятельности контролируемого лица к определенной категории риска основывается на соотнесении групп</w:t>
      </w:r>
      <w:r>
        <w:rPr>
          <w:rFonts w:ascii="Times New Roman" w:hAnsi="Times New Roman" w:eastAsia="Times New Roman" w:cs="Times New Roman"/>
          <w:sz w:val="24"/>
          <w:szCs w:val="24"/>
          <w:u w:val="none"/>
        </w:rPr>
        <w:t xml:space="preserve">ы тяжести и группы вероятности.</w:t>
      </w:r>
      <w:r>
        <w:rPr>
          <w:rFonts w:ascii="Times New Roman" w:hAnsi="Times New Roman" w:cs="Times New Roman"/>
          <w:sz w:val="24"/>
          <w:szCs w:val="24"/>
          <w:u w:val="single"/>
        </w:rPr>
      </w:r>
      <w:r>
        <w:rPr>
          <w:rFonts w:ascii="Times New Roman" w:hAnsi="Times New Roman" w:cs="Times New Roman"/>
          <w:sz w:val="24"/>
          <w:szCs w:val="24"/>
          <w:u w:val="single"/>
        </w:rPr>
      </w:r>
    </w:p>
    <w:tbl>
      <w:tblPr>
        <w:tblStyle w:val="686"/>
        <w:tblW w:w="0" w:type="auto"/>
        <w:tblLook w:val="04A0" w:firstRow="1" w:lastRow="0" w:firstColumn="1" w:lastColumn="0" w:noHBand="0" w:noVBand="1"/>
      </w:tblPr>
      <w:tblGrid>
        <w:gridCol w:w="3332"/>
        <w:gridCol w:w="1879"/>
        <w:gridCol w:w="2410"/>
      </w:tblGrid>
      <w:tr>
        <w:tblPrEx/>
        <w:trPr/>
        <w:tc>
          <w:tcPr>
            <w:tcW w:w="3332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Категория риска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1879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Группа тяжести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2410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Группа вероятности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</w:tr>
      <w:tr>
        <w:tblPrEx/>
        <w:trPr>
          <w:trHeight w:val="56"/>
        </w:trPr>
        <w:tc>
          <w:tcPr>
            <w:tcW w:w="3332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Средний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1879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А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2410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</w:tr>
      <w:tr>
        <w:tblPrEx/>
        <w:trPr/>
        <w:tc>
          <w:tcPr>
            <w:tcW w:w="3332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Умеренный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1879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Б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2410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</w:tr>
      <w:tr>
        <w:tblPrEx/>
        <w:trPr/>
        <w:tc>
          <w:tcPr>
            <w:tcW w:w="3332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Низкий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1879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Б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  <w:tc>
          <w:tcPr>
            <w:tcW w:w="2410" w:type="dxa"/>
            <w:textDirection w:val="lrTb"/>
            <w:noWrap w:val="false"/>
          </w:tcPr>
          <w:p>
            <w:pPr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</w:r>
          </w:p>
        </w:tc>
      </w:tr>
    </w:tbl>
    <w:p>
      <w:pPr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 по организационной работе,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</w:t>
        <w:tab/>
        <w:tab/>
        <w:tab/>
        <w:t xml:space="preserve"> В.Д. Бычкова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bookmarkStart w:id="0" w:name="undefined"/>
      <w:r>
        <w:rPr>
          <w:rFonts w:ascii="Times New Roman" w:hAnsi="Times New Roman" w:eastAsia="Times New Roman" w:cs="Times New Roman"/>
          <w:sz w:val="24"/>
          <w:szCs w:val="24"/>
        </w:rPr>
      </w:r>
      <w:bookmarkEnd w:id="0"/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4090202050204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link w:val="684"/>
    <w:uiPriority w:val="35"/>
    <w:rPr>
      <w:b/>
      <w:bCs/>
      <w:color w:val="4f81bd" w:themeColor="accent1"/>
      <w:sz w:val="18"/>
      <w:szCs w:val="18"/>
    </w:rPr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List Bullet"/>
    <w:basedOn w:val="830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7" w:customStyle="1">
    <w:name w:val="HTML Preformatted"/>
    <w:basedOn w:val="830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8" w:customStyle="1">
    <w:name w:val="ConsPlusNormal"/>
    <w:uiPriority w:val="99"/>
    <w:pPr>
      <w:contextualSpacing w:val="0"/>
      <w:ind w:left="0" w:right="0" w:firstLine="72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39" w:customStyle="1">
    <w:name w:val="ConsNonformat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0" w:customStyle="1">
    <w:name w:val="s_1"/>
    <w:basedOn w:val="830"/>
    <w:pPr>
      <w:contextualSpacing w:val="0"/>
      <w:ind w:left="0" w:right="0" w:firstLine="72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6"/>
      <w:szCs w:val="26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1" w:customStyle="1">
    <w:name w:val="Без интервала1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42" w:customStyle="1">
    <w:name w:val="ConsPlu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Calibri" w:cs="Calibri"/>
      <w:b/>
      <w:bCs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43" w:customStyle="1">
    <w:name w:val="Normal (Web)"/>
    <w:uiPriority w:val="99"/>
    <w:unhideWhenUsed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7</cp:revision>
  <dcterms:modified xsi:type="dcterms:W3CDTF">2025-05-30T07:22:37Z</dcterms:modified>
</cp:coreProperties>
</file>