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Российская Федерация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Иркутская область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Муниципальное образование 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Тайшетский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Тайшетское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муниципальное образование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Тайшетское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городское поселение»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Дума 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Тайшетского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городского поселения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(Пятый созыв)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7"/>
        <w:contextualSpacing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Е Ш Е Н И 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7"/>
        <w:contextualSpacing/>
        <w:jc w:val="both"/>
        <w:spacing w:before="0" w:beforeAutospacing="0" w:after="0" w:afterAutospacing="0" w:line="240" w:lineRule="auto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от 29.05.2025 г. </w:t>
        <w:tab/>
        <w:tab/>
        <w:tab/>
        <w:tab/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г. Тайшет </w:t>
        <w:tab/>
        <w:tab/>
        <w:tab/>
        <w:tab/>
        <w:tab/>
        <w:t xml:space="preserve">№156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7"/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7"/>
        <w:contextualSpacing/>
        <w:ind w:right="498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 внесении изменений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Положение о муниципальном лесном контроле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муниципальном образовании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городское поселение», утверждённое решением Думы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от 23 декабря 2021 года №265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837"/>
        <w:contextualSpacing/>
        <w:ind w:right="498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В целях приведения муниципального нормативного правового акта в соответствие с действующим законодательством, руководствуясь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Федеральным законом от 31 июля 2020 года №248-ФЗ «О государственном контроле (надзоре) и муниципальном контроле в Российской Федерации»,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Федеральным законом от 6 октября 2003 года №131-ФЗ «Об общих принципах организации местного самоуправления в Российской Федерации», статьями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6, 7.1, 31, 47 Устава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муниципального образования 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городское поселение», Дума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contextualSpacing/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ЕШИЛА: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contextualSpacing/>
        <w:ind w:firstLine="708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 Внести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Положение о муниципальном  лесном контроле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муниципальном образовании 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утверждённое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23 декабря 2021 года №265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(в редакции решения Думы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 21 июля 2022 года №310)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,</w:t>
      </w:r>
      <w:bookmarkStart w:id="0" w:name="undefined"/>
      <w:r>
        <w:rPr>
          <w:rFonts w:ascii="Times New Roman" w:hAnsi="Times New Roman" w:eastAsia="Times New Roman" w:cs="Times New Roman"/>
          <w:sz w:val="24"/>
          <w:szCs w:val="24"/>
        </w:rPr>
      </w:r>
      <w:bookmarkEnd w:id="0"/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следующие изменения: 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1.1.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пункт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1.7 отменить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дополнить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Положение раз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делом 1(1), изложив его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следующ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ей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редакции: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«Раздел 1(1). Упра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вление рисками причинения вреда (ущерба)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охраняемым законом ценностям при осуществлении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муниципального лесного контроля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.1. Адм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осуществляет муниципальный лесной контроль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на основе управления рисками причинения вреда (ущерба).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.2.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ля целей управления рисками причинения вреда (ущерба) при осуществлении муниципального лесного контроля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относятся объекты контроля к одной из следующих категорий риска причинения вреда (ущерба) (далее - категории риска):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средний риск;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2) умеренный риск;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3) низкий риск.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.3. Отнесение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лесного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 определенной категории риска осуществляется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соглас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но приложению 2 к настоящему Положению 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begin"/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instrText xml:space="preserve">HYPERLINK "file:///\\\\192.168.0.251\\Institut1\\Основные%20направления%20работы%20Института\\Модельные%20акты\\Проекты%20модельных%20актов\\Модельные%20типовые%20документы\\_blank" \l "_blank"</w:instrTex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separate"/>
      </w:r>
      <w:r>
        <w:rPr>
          <w:rStyle w:val="844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Критерии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end"/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отнесения объектов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к определённой категории риска при осуществлении администрацией Тайшетского городского поселения муниципального лесного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».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Отнес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ение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лесного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 изменение присвоенным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объектам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категорий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осуществляется распоряжением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При отнесении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контрольным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орган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объектов контроля к категориям риска используются в том числе: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сведения, получаемые при проведении должностными лицами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профилактических мероприятий в соответствии с разделом 2 настоящего Положения;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иные сведения,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имеющиеся в распоряжении контрольного органа.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.4.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Проведение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контрольным органом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плановых контрольных мероприятий в отношении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лесного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не осуществляется.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Периоди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чность проведения обязательного профилактического визита в отношении объектов контроля, отнесенных к категории среднего и умеренного риска, определяется Правительством Российской Федерации.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отношении объектов контроля, отнесенных к категории низкого риска, 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бязательный профилактический визит не проводится.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По запросу правообладателя объекта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должностные лица в срок не превышающий 15 дней со дня поступления запроса, предоставляют ему информацию о присвоенной объекту контроля категории риска, а также сведения, использованные при отнесении объекта контроля к определенной категории риска.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Правообладатель объекта контроля вправе подать в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дминистрацию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заявление об изменении присвоенной ранее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объекту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категории риска.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.6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ведет перечни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объектов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которым присвоены категории риска (далее – перечни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объектов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). Включение объектов контроля в перечни объектов осуществляется в соответствии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 распоряжением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указанным в пункте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.3 настоящего Положения.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Перечни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лесного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 указанием категорий риска размещаются на официальном сайте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информационно-телекоммуникационной сети «Интернет» (далее – официальный сайт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в специальном разделе, посвященном контрольной деятельности.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Доступ к специальному разделу должен осуществляться с главной (основной) страницы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официального сайта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7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Перечни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лесного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содержат следующую информацию: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информация, идентифицирующая объект контроля;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2) присвоенная категория риска;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3) реквизиты решения о присвоении объекту контроля категории риска.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left="0" w:right="0"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1.3.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пункт 2.5. изложить в следующей редакции: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«2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.5. При осуществлении администрацией муниципального лесного контроля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могут проводиться следующие виды профилактических мероприятий: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информирование;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консультирование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объявление предостережения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4)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визит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  <w:shd w:val="clear" w:color="auto" w:fill="ffffff"/>
        </w:rPr>
        <w:t xml:space="preserve">1.4.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абзац 3 пункта 2.6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изложить в следующей редакции: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Администрация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также вправе информировать население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айшетского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i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на собраниях и конференциях граждан об обязательн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объектов контроля, исходя из их отнесения к соответствующей категории риска.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1.5.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раздел 2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дополнить 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пунктами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2.9., 2.10.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следующего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 содержания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«2.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9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случае наличия у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сведений о готовящихся нарушениях обязательных требований или признаках 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Предостере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№248-ФЗ, и должно содержать указание на соответствующие обязательные требования, предусматривающий их 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Должностные лица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существля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учет объявленных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дминистрацией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предостережений о недопустимости нарушения обязательных требований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журнале учета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и использу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соответствующие данные для проведения иных профилактических мероприятий и контрольных (надзорных) мероприятий.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Контролируемое лицо вправе после получения предостережения о недопустимости нарушения обязательных требований подать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возражение в отношении указанного предостережения в срок не позднее 30 дней со дня получения им предостережения. Возражение рассматривается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министрацией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течение 30 дней со дня его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регистрации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В результате рассмотрения возражения контролируемому лицу направляется ответ с информацией о согласии или несогласии с возражением.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случае принятия представленных в возражении контролируемого лица доводов направленное ранее предостережение аннулируется должностным лицом с соответствующей отметкой в журнале учета объявленных предостережений.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Информация о несогласии с возражением или об аннулировании предостережения направляется в адрес контролируемого лица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форме электр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онного документа по адресу электронной почты, указанному в возражении, поступившем в контрольный орган в форме электронного документа, или в письменной форме по почтовому адресу, указанному в возражении, поступившем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письменной форме.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2.10.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или мобильного приложения «Инспектор»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ходе профилактического визита контролируемое лицо информируется об обязательных требованиях, предъявляемых к его деят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тветствующей категории риска, а должностное лицо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визит проводится по инициативе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(обязательный профилактический визит) или по инициативе контролируемого лица.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бязательный профилактический визит проводится в соответствии со статьей 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2.1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Федерального закона №248-ФЗ.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ит по инициативе контролируемого лица может быть проведен по его заявлению, если такое лицо относится к субъектам малого предпринимательства, является социально ориентированной некоммерческой организацией либо государственным или муниципальным учреждением.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Проведение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п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рофилактического визита по инициативе контролируемого лица осуществляется в соответствии со статьей 52.2 Федерального закона № 248-ФЗ.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1.6. пункт 3.4.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изложить в следующей редакции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3.4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нтрольны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мероприяти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осуществляются по основаниям, предусмотренным пунктами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– 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7, 9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части 1 статьи 57 Федерального закона № 248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-ФЗ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1.7.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дополнить приложением 2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none"/>
        </w:rPr>
        <w:t xml:space="preserve">(п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рилагается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2. Администрации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опубликовать настоящее решение Думы в официальных средствах массовой информации.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3. Настоящее решение вступает в силу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после дня его опубликования.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Председатель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П.В. Терещенко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  <w:tab/>
        <w:tab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Р.О. Леоненко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bookmarkStart w:id="0" w:name="undefined"/>
      <w:r>
        <w:rPr>
          <w:rFonts w:ascii="Times New Roman" w:hAnsi="Times New Roman" w:eastAsia="Times New Roman" w:cs="Times New Roman"/>
          <w:sz w:val="24"/>
          <w:szCs w:val="24"/>
        </w:rPr>
      </w:r>
      <w:bookmarkEnd w:id="0"/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en-US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ind w:firstLine="0"/>
        <w:jc w:val="right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ind w:firstLine="0"/>
        <w:jc w:val="right"/>
        <w:spacing w:before="0" w:beforeAutospacing="0" w:after="0" w:afterAutospacing="0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</w:t>
      </w:r>
      <w:r>
        <w:rPr>
          <w:rFonts w:ascii="Times New Roman" w:hAnsi="Times New Roman" w:cs="Times New Roman"/>
          <w:sz w:val="24"/>
          <w:szCs w:val="24"/>
        </w:rPr>
      </w:r>
      <w:r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Думы 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ind w:firstLine="0"/>
        <w:jc w:val="right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837"/>
        <w:jc w:val="right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29 мая 202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года  №156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«Приложение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к Положению о муниципальном лесном контроле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муниципальном образовании </w:t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поселение,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/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утвержденному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решением Думы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 городского поселения 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от 23 декабря 2021 года №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265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left="0" w:right="0" w:firstLine="0"/>
        <w:jc w:val="center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ind w:left="0" w:right="0" w:firstLine="0"/>
        <w:jc w:val="center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eastAsia="Times New Roman" w:cs="Times New Roman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begin"/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instrText xml:space="preserve">HYPERLINK "file:///\\\\192.168.0.251\\Institut1\\Основные%20направления%20работы%20Института\\Модельные%20акты\\Проекты%20модельных%20актов\\Модельные%20типовые%20документы\\_blank" \l "_blank"</w:instrTex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separate"/>
      </w:r>
      <w:r>
        <w:rPr>
          <w:rStyle w:val="844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К</w:t>
      </w:r>
      <w:r>
        <w:rPr>
          <w:rStyle w:val="844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ритери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end"/>
      </w:r>
      <w:r>
        <w:rPr>
          <w:rStyle w:val="844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отнесения объектов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к определённой категории риска при осуществлении администрацией Тайшетского городского поселения муниципального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лесного контроля: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left="0" w:right="0" w:firstLine="72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Критерием отнесения объектов муниципального лесного контроля к категории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среднего риска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является: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contextualSpacing/>
        <w:ind w:left="0" w:right="0" w:firstLine="72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eastAsia="Times New Roman" w:cs="Times New Roman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установление в течение 2 лет, предшествующих моменту отнесения органом государственного надзора объекта контроля к одной из категорий риска, факта причинения вреда лесам и находящимся в них природным объектам вследствие нарушения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лесного законодательства (в том числе выразившегося в незаконной рубке деревьев, загрязнении лесов сточными водами, химическими, радиоактивными и другими вредными веществами, отходами производства и потребления и (или) в ином негативном воздействии на леса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или в нарушении правил пожарной безопасности в лесах, повлекшем возникновение лесного пожара) контролируемым лицом, в том числе вследствие действий (бездействия) должностных лиц контролируемого лица, и (или) иными лицами, действующими на основании договор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ных отношений с контролируемым лицом;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left="0" w:right="0" w:firstLine="72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Критерием отнесения объектов муниципального лесного контроля к категории умеренного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риска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является: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contextualSpacing/>
        <w:ind w:left="0" w:right="0" w:firstLine="72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совершение в течение 2 лет, предшествующих моменту отнесения органом государственного надзора объекта контроля к одной из категорий риска, административного правонарушения без причинения вреда лесам и находящимся в них природным объе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ктам (статьи </w:t>
      </w:r>
      <w:hyperlink r:id="rId8" w:tooltip="https://normativ.kontur.ru/document?moduleId=1&amp;documentId=418886#l18225" w:history="1">
        <w:r>
          <w:rPr>
            <w:rStyle w:val="812"/>
            <w:rFonts w:ascii="Times New Roman" w:hAnsi="Times New Roman" w:eastAsia="Times New Roman" w:cs="Times New Roman"/>
            <w:color w:val="000000" w:themeColor="text1"/>
            <w:sz w:val="24"/>
            <w:szCs w:val="24"/>
            <w:u w:val="none"/>
          </w:rPr>
          <w:t xml:space="preserve">8.5.2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, </w:t>
      </w:r>
      <w:hyperlink r:id="rId9" w:tooltip="https://normativ.kontur.ru/document?moduleId=1&amp;documentId=418886#l559" w:history="1">
        <w:r>
          <w:rPr>
            <w:rStyle w:val="812"/>
            <w:rFonts w:ascii="Times New Roman" w:hAnsi="Times New Roman" w:eastAsia="Times New Roman" w:cs="Times New Roman"/>
            <w:color w:val="000000" w:themeColor="text1"/>
            <w:sz w:val="24"/>
            <w:szCs w:val="24"/>
            <w:u w:val="none"/>
          </w:rPr>
          <w:t xml:space="preserve">8.25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 - </w:t>
      </w:r>
      <w:hyperlink r:id="rId10" w:tooltip="https://normativ.kontur.ru/document?moduleId=1&amp;documentId=418886#l12602" w:history="1">
        <w:r>
          <w:rPr>
            <w:rStyle w:val="812"/>
            <w:rFonts w:ascii="Times New Roman" w:hAnsi="Times New Roman" w:eastAsia="Times New Roman" w:cs="Times New Roman"/>
            <w:color w:val="000000" w:themeColor="text1"/>
            <w:sz w:val="24"/>
            <w:szCs w:val="24"/>
            <w:u w:val="none"/>
          </w:rPr>
          <w:t xml:space="preserve">8.27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, </w:t>
      </w:r>
      <w:hyperlink r:id="rId11" w:tooltip="https://normativ.kontur.ru/document?moduleId=1&amp;documentId=418886#l17019" w:history="1">
        <w:r>
          <w:rPr>
            <w:rStyle w:val="812"/>
            <w:rFonts w:ascii="Times New Roman" w:hAnsi="Times New Roman" w:eastAsia="Times New Roman" w:cs="Times New Roman"/>
            <w:color w:val="000000" w:themeColor="text1"/>
            <w:sz w:val="24"/>
            <w:szCs w:val="24"/>
            <w:u w:val="none"/>
          </w:rPr>
          <w:t xml:space="preserve">8.31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, </w:t>
      </w:r>
      <w:hyperlink r:id="rId12" w:tooltip="https://normativ.kontur.ru/document?moduleId=1&amp;documentId=418886#l17025" w:history="1">
        <w:r>
          <w:rPr>
            <w:rStyle w:val="812"/>
            <w:rFonts w:ascii="Times New Roman" w:hAnsi="Times New Roman" w:eastAsia="Times New Roman" w:cs="Times New Roman"/>
            <w:color w:val="000000" w:themeColor="text1"/>
            <w:sz w:val="24"/>
            <w:szCs w:val="24"/>
            <w:u w:val="none"/>
          </w:rPr>
          <w:t xml:space="preserve">8.32.3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, </w:t>
      </w:r>
      <w:hyperlink r:id="rId13" w:tooltip="https://normativ.kontur.ru/document?moduleId=1&amp;documentId=418886#l10124" w:history="1">
        <w:r>
          <w:rPr>
            <w:rStyle w:val="812"/>
            <w:rFonts w:ascii="Times New Roman" w:hAnsi="Times New Roman" w:eastAsia="Times New Roman" w:cs="Times New Roman"/>
            <w:color w:val="000000" w:themeColor="text1"/>
            <w:sz w:val="24"/>
            <w:szCs w:val="24"/>
            <w:u w:val="none"/>
          </w:rPr>
          <w:t xml:space="preserve">8.45.1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, </w:t>
      </w:r>
      <w:hyperlink r:id="rId14" w:tooltip="https://normativ.kontur.ru/document?moduleId=1&amp;documentId=418886#l1454" w:history="1">
        <w:r>
          <w:rPr>
            <w:rStyle w:val="812"/>
            <w:rFonts w:ascii="Times New Roman" w:hAnsi="Times New Roman" w:eastAsia="Times New Roman" w:cs="Times New Roman"/>
            <w:color w:val="000000" w:themeColor="text1"/>
            <w:sz w:val="24"/>
            <w:szCs w:val="24"/>
            <w:u w:val="none"/>
          </w:rPr>
          <w:t xml:space="preserve">часть 1</w:t>
        </w:r>
      </w:hyperlink>
      <w:r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  <w:t xml:space="preserve"> с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татьи 19.5 Кодекса Российской Федерации об административных правонарушениях) контролируемым лицом, в том числе вследствие действий (бездействия) должностных лиц контролируемого лица, и (или) иными лицами, действующими на основании договорных отношений с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контролируемым лицом;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</w:r>
    </w:p>
    <w:p>
      <w:pPr>
        <w:contextualSpacing/>
        <w:ind w:left="0" w:right="0" w:firstLine="72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К категории низкого риска – объекты контроля, не отнесенные к иной катего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рии риска.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Начальник отдела по организационной работе, 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контролю и делопроизводству администрации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 </w:t>
        <w:tab/>
        <w:tab/>
        <w:tab/>
        <w:t xml:space="preserve"> В.Д. Бычкова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964" w:right="850" w:bottom="96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4090202050204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link w:val="6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link w:val="684"/>
    <w:uiPriority w:val="35"/>
    <w:rPr>
      <w:b/>
      <w:bCs/>
      <w:color w:val="4f81bd" w:themeColor="accent1"/>
      <w:sz w:val="18"/>
      <w:szCs w:val="18"/>
    </w:rPr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paragraph" w:styleId="836" w:customStyle="1">
    <w:name w:val="List Bullet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7" w:customStyle="1">
    <w:name w:val="HTML Preformatted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8" w:customStyle="1">
    <w:name w:val="ConsPlusNormal"/>
    <w:uiPriority w:val="99"/>
    <w:pPr>
      <w:contextualSpacing w:val="0"/>
      <w:ind w:left="0" w:right="0" w:firstLine="72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39" w:customStyle="1">
    <w:name w:val="ConsNonformat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0" w:customStyle="1">
    <w:name w:val="s_16"/>
    <w:pPr>
      <w:contextualSpacing w:val="0"/>
      <w:ind w:left="0" w:right="0" w:firstLine="0"/>
      <w:jc w:val="left"/>
      <w:keepLines w:val="0"/>
      <w:keepNext w:val="0"/>
      <w:pageBreakBefore w:val="0"/>
      <w:spacing w:before="100" w:beforeAutospacing="1" w:after="100" w:afterAutospacing="1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1" w:customStyle="1">
    <w:name w:val="s_1"/>
    <w:pPr>
      <w:contextualSpacing w:val="0"/>
      <w:ind w:left="0" w:right="0" w:firstLine="72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6"/>
      <w:szCs w:val="26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2" w:customStyle="1">
    <w:name w:val="Без интервала1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43" w:customStyle="1">
    <w:name w:val="ConsPlusTitle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Calibri" w:cs="Calibri"/>
      <w:b/>
      <w:bCs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character" w:styleId="844" w:customStyle="1">
    <w:name w:val="Гиперссылка"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normativ.kontur.ru/document?moduleId=1&amp;documentId=418886#l18225" TargetMode="External"/><Relationship Id="rId9" Type="http://schemas.openxmlformats.org/officeDocument/2006/relationships/hyperlink" Target="https://normativ.kontur.ru/document?moduleId=1&amp;documentId=418886#l559" TargetMode="External"/><Relationship Id="rId10" Type="http://schemas.openxmlformats.org/officeDocument/2006/relationships/hyperlink" Target="https://normativ.kontur.ru/document?moduleId=1&amp;documentId=418886#l12602" TargetMode="External"/><Relationship Id="rId11" Type="http://schemas.openxmlformats.org/officeDocument/2006/relationships/hyperlink" Target="https://normativ.kontur.ru/document?moduleId=1&amp;documentId=418886#l17019" TargetMode="External"/><Relationship Id="rId12" Type="http://schemas.openxmlformats.org/officeDocument/2006/relationships/hyperlink" Target="https://normativ.kontur.ru/document?moduleId=1&amp;documentId=418886#l17025" TargetMode="External"/><Relationship Id="rId13" Type="http://schemas.openxmlformats.org/officeDocument/2006/relationships/hyperlink" Target="https://normativ.kontur.ru/document?moduleId=1&amp;documentId=418886#l10124" TargetMode="External"/><Relationship Id="rId14" Type="http://schemas.openxmlformats.org/officeDocument/2006/relationships/hyperlink" Target="https://normativ.kontur.ru/document?moduleId=1&amp;documentId=418886#l1454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5</cp:revision>
  <dcterms:modified xsi:type="dcterms:W3CDTF">2025-05-30T07:37:14Z</dcterms:modified>
</cp:coreProperties>
</file>