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проект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Иркутская область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«Тайшетский район»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Тайшетское муниципальное образование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«Тайшетское городское поселение»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Тайшетского городского поселения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</w:t>
      </w:r>
      <w:r>
        <w:rPr>
          <w:b/>
          <w:sz w:val="28"/>
          <w:szCs w:val="28"/>
        </w:rPr>
        <w:t xml:space="preserve">пятый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созыв)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Ш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г.</w:t>
        <w:tab/>
        <w:tab/>
        <w:tab/>
        <w:tab/>
        <w:t xml:space="preserve">г. Тайшет</w:t>
        <w:tab/>
        <w:tab/>
        <w:tab/>
        <w:tab/>
        <w:tab/>
        <w:t xml:space="preserve">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right="56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исполнении бюджета Тайшетского городско</w:t>
      </w:r>
      <w:r>
        <w:rPr>
          <w:sz w:val="24"/>
          <w:szCs w:val="24"/>
        </w:rPr>
        <w:t xml:space="preserve">го п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селения за </w:t>
      </w:r>
      <w:r>
        <w:rPr>
          <w:sz w:val="24"/>
          <w:szCs w:val="24"/>
        </w:rPr>
        <w:t xml:space="preserve">первый квартал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right="56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Рассмотрев </w:t>
      </w:r>
      <w:r>
        <w:rPr>
          <w:sz w:val="24"/>
          <w:szCs w:val="24"/>
        </w:rPr>
        <w:t xml:space="preserve">информацию </w:t>
      </w:r>
      <w:r>
        <w:rPr>
          <w:sz w:val="24"/>
          <w:szCs w:val="24"/>
        </w:rPr>
        <w:t xml:space="preserve">об исполнении бюджета Та</w:t>
      </w:r>
      <w:r>
        <w:rPr>
          <w:sz w:val="24"/>
          <w:szCs w:val="24"/>
        </w:rPr>
        <w:t xml:space="preserve">йшетского горо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ского поселения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первый квартал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года, руководствуясь Федеральным законом от 06</w:t>
      </w:r>
      <w:r>
        <w:rPr>
          <w:sz w:val="24"/>
          <w:szCs w:val="24"/>
        </w:rPr>
        <w:t xml:space="preserve"> октября </w:t>
      </w:r>
      <w:r>
        <w:rPr>
          <w:sz w:val="24"/>
          <w:szCs w:val="24"/>
        </w:rPr>
        <w:t xml:space="preserve">2003 года №131-ФЗ « Об общих принципах организ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ции местного самоуправления в Российской Федерации», Бюджетным К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дексом Российско</w:t>
      </w:r>
      <w:r>
        <w:rPr>
          <w:sz w:val="24"/>
          <w:szCs w:val="24"/>
        </w:rPr>
        <w:t xml:space="preserve">й Федерации, </w:t>
      </w:r>
      <w:r>
        <w:rPr>
          <w:sz w:val="24"/>
          <w:szCs w:val="24"/>
        </w:rPr>
        <w:t xml:space="preserve">статьями </w:t>
      </w:r>
      <w:r>
        <w:rPr>
          <w:sz w:val="24"/>
          <w:szCs w:val="24"/>
        </w:rPr>
        <w:t xml:space="preserve">.31,57,58,63 </w:t>
      </w:r>
      <w:r>
        <w:rPr>
          <w:sz w:val="24"/>
          <w:szCs w:val="24"/>
        </w:rPr>
        <w:t xml:space="preserve">Устава Тайшетского муниципального образования «Тайшет</w:t>
      </w:r>
      <w:r>
        <w:rPr>
          <w:sz w:val="24"/>
          <w:szCs w:val="24"/>
        </w:rPr>
        <w:t xml:space="preserve">ское городское поселение»,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</w:t>
      </w:r>
      <w:r>
        <w:rPr>
          <w:sz w:val="24"/>
          <w:szCs w:val="24"/>
        </w:rPr>
        <w:t xml:space="preserve">атьей 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Положения « О бюджетном процессе в Тайшетском муниципальном обр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зовании «Тайшетское городское поселение»,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утвержденного решением Д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мы Тайшетского городского поселения от </w:t>
      </w:r>
      <w:r>
        <w:rPr>
          <w:sz w:val="24"/>
          <w:szCs w:val="24"/>
        </w:rPr>
        <w:t xml:space="preserve"> 28 мая 2021года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226</w:t>
      </w:r>
      <w:r>
        <w:rPr>
          <w:sz w:val="24"/>
          <w:szCs w:val="24"/>
        </w:rPr>
        <w:t xml:space="preserve">,  Дума Тайшетского городского посел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РЕШИЛА: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 xml:space="preserve">Принять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сведению отчет</w:t>
      </w:r>
      <w:r>
        <w:rPr>
          <w:sz w:val="24"/>
          <w:szCs w:val="24"/>
        </w:rPr>
        <w:t xml:space="preserve"> об исполнении бюджета Тайшетского г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родского поселения за перв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, утвержденный постано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лением администрации Тайшет</w:t>
      </w:r>
      <w:r>
        <w:rPr>
          <w:sz w:val="24"/>
          <w:szCs w:val="24"/>
        </w:rPr>
        <w:t xml:space="preserve">ского городского поселения 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апреля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г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«Об утверждении отчета об исполнении бюджета Тайшетского городск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го поселения за перв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ода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ложение</w:t>
      </w:r>
      <w:r>
        <w:rPr>
          <w:sz w:val="24"/>
          <w:szCs w:val="24"/>
        </w:rPr>
        <w:t xml:space="preserve">1)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Принять </w:t>
      </w:r>
      <w:r>
        <w:rPr>
          <w:sz w:val="24"/>
          <w:szCs w:val="24"/>
        </w:rPr>
        <w:t xml:space="preserve">к сведению </w:t>
      </w:r>
      <w:r>
        <w:rPr>
          <w:sz w:val="24"/>
          <w:szCs w:val="24"/>
        </w:rPr>
        <w:t xml:space="preserve">отчет об использовании бюджетных ассигнов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ний резер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ного фонда администрации Тайшетского городского поселени</w:t>
      </w:r>
      <w:r>
        <w:rPr>
          <w:sz w:val="24"/>
          <w:szCs w:val="24"/>
        </w:rPr>
        <w:t xml:space="preserve">я за перв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</w:t>
      </w:r>
      <w:r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года, утвержденный постановлением администрации Тайшет</w:t>
      </w:r>
      <w:r>
        <w:rPr>
          <w:sz w:val="24"/>
          <w:szCs w:val="24"/>
        </w:rPr>
        <w:t xml:space="preserve">ского городского поселения 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апреля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ода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«Об утвержд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нии отчета об исполнении бюджета Тайшетского городского по</w:t>
      </w:r>
      <w:r>
        <w:rPr>
          <w:sz w:val="24"/>
          <w:szCs w:val="24"/>
        </w:rPr>
        <w:t xml:space="preserve">селения за перв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квартал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ода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(пр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ложение 2)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.Администрации Тайшетского городского поселения обеспечить опубликование настоящего решения Думы Тайшетского городского посел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ния в официальных средствах ма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совой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Тайшетского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«Тайшетское городское поселение»</w:t>
      </w:r>
      <w:r>
        <w:rPr>
          <w:sz w:val="24"/>
          <w:szCs w:val="24"/>
        </w:rPr>
        <w:tab/>
        <w:tab/>
        <w:tab/>
      </w:r>
      <w:r>
        <w:rPr>
          <w:sz w:val="24"/>
          <w:szCs w:val="24"/>
        </w:rPr>
        <w:t xml:space="preserve">П.В.Терещенко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лава Тайшетского муниципального образования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«Тайшетское городское поселение»</w:t>
        <w:tab/>
      </w:r>
      <w:r>
        <w:rPr>
          <w:sz w:val="24"/>
          <w:szCs w:val="24"/>
        </w:rPr>
        <w:tab/>
        <w:tab/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Р.О.Леоненко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4"/>
          <w:szCs w:val="24"/>
        </w:rPr>
      </w:r>
    </w:p>
    <w:p>
      <w:pPr>
        <w:pStyle w:val="8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исполнении бюджета Тайшетского городского поселения за первый ква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тал 2025 года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Бюджет</w:t>
      </w:r>
      <w:r>
        <w:rPr>
          <w:sz w:val="24"/>
          <w:szCs w:val="24"/>
        </w:rPr>
        <w:t xml:space="preserve"> Тайшетского городского поселения за </w:t>
      </w:r>
      <w:r>
        <w:rPr>
          <w:sz w:val="24"/>
          <w:szCs w:val="24"/>
        </w:rPr>
        <w:t xml:space="preserve">первый квартал 2025</w:t>
      </w:r>
      <w:r>
        <w:rPr>
          <w:sz w:val="24"/>
          <w:szCs w:val="24"/>
        </w:rPr>
        <w:t xml:space="preserve"> г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да исполнен по доходам в сумме </w:t>
      </w:r>
      <w:r>
        <w:rPr>
          <w:sz w:val="24"/>
          <w:szCs w:val="24"/>
        </w:rPr>
        <w:t xml:space="preserve">45357,5 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при утвержденном бюдж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те на год в сумме </w:t>
      </w:r>
      <w:r>
        <w:rPr>
          <w:sz w:val="24"/>
          <w:szCs w:val="24"/>
        </w:rPr>
        <w:t xml:space="preserve">351797,1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, или </w:t>
      </w:r>
      <w:r>
        <w:rPr>
          <w:sz w:val="24"/>
          <w:szCs w:val="24"/>
        </w:rPr>
        <w:t xml:space="preserve">12,9</w:t>
      </w:r>
      <w:r>
        <w:rPr>
          <w:sz w:val="24"/>
          <w:szCs w:val="24"/>
        </w:rPr>
        <w:t xml:space="preserve"> %.  По собственным источн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кам доходов исполнение составило </w:t>
      </w:r>
      <w:r>
        <w:rPr>
          <w:sz w:val="24"/>
          <w:szCs w:val="24"/>
        </w:rPr>
        <w:t xml:space="preserve">38052,7</w:t>
      </w:r>
      <w:r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при плане на год  </w:t>
      </w:r>
      <w:r>
        <w:rPr>
          <w:sz w:val="24"/>
          <w:szCs w:val="24"/>
        </w:rPr>
        <w:t xml:space="preserve">193082,0 </w:t>
      </w:r>
      <w:r>
        <w:rPr>
          <w:sz w:val="24"/>
          <w:szCs w:val="24"/>
        </w:rPr>
        <w:t xml:space="preserve">тыс.руб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, или </w:t>
      </w:r>
      <w:r>
        <w:rPr>
          <w:sz w:val="24"/>
          <w:szCs w:val="24"/>
        </w:rPr>
        <w:t xml:space="preserve">19,7</w:t>
      </w:r>
      <w:r>
        <w:rPr>
          <w:sz w:val="24"/>
          <w:szCs w:val="24"/>
        </w:rPr>
        <w:t xml:space="preserve"> 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Динамика  роста поступления  доходов в местный бюджет  в  сравн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нии с   2024 годом по кварталам:</w:t>
        <w:tab/>
        <w:tab/>
        <w:tab/>
        <w:tab/>
        <w:tab/>
        <w:tab/>
        <w:tab/>
        <w:t xml:space="preserve">т.руб.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78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242"/>
        <w:gridCol w:w="1873"/>
        <w:gridCol w:w="1873"/>
        <w:gridCol w:w="1883"/>
        <w:gridCol w:w="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</w:trPr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кварталы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2024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2025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в % к 202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 квартал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36122,8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38052,7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105,3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24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итого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36122,8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73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38052,7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892" w:type="dxa"/>
            <w:vAlign w:val="top"/>
            <w:textDirection w:val="lrTb"/>
            <w:noWrap w:val="false"/>
          </w:tcPr>
          <w:p>
            <w:pPr>
              <w:pStyle w:val="874"/>
              <w:rPr>
                <w:sz w:val="24"/>
                <w:szCs w:val="24"/>
              </w:rPr>
              <w:framePr w:hSpace="180" w:wrap="around" w:vAnchor="text" w:hAnchor="text" w:y="1"/>
            </w:pPr>
            <w:r>
              <w:rPr>
                <w:sz w:val="24"/>
                <w:szCs w:val="24"/>
              </w:rPr>
              <w:t xml:space="preserve">105,3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В сравнении с аналогичным периодом прошлого года доходная часть местного бюджета   по собственным источникам доходов </w:t>
      </w:r>
      <w:r>
        <w:rPr>
          <w:sz w:val="24"/>
          <w:szCs w:val="24"/>
        </w:rPr>
        <w:t xml:space="preserve">перевыполнена  на  1929,9 тыс.руб. и составляет 105,3 % от прошлого периода. Перевыполнение сложилось по </w:t>
      </w:r>
      <w:r>
        <w:rPr>
          <w:sz w:val="24"/>
          <w:szCs w:val="24"/>
        </w:rPr>
        <w:t xml:space="preserve">штрафам, возмещение ущерба в сумме ,прочим неналоговым доходам.</w:t>
      </w:r>
      <w:r>
        <w:rPr>
          <w:sz w:val="24"/>
          <w:szCs w:val="24"/>
        </w:rPr>
      </w:r>
    </w:p>
    <w:p>
      <w:pPr>
        <w:pStyle w:val="874"/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 в то же время, по другим источникам доходов наблюдается сниж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ние п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ступлений. </w:t>
      </w:r>
      <w:r>
        <w:rPr>
          <w:sz w:val="24"/>
          <w:szCs w:val="24"/>
        </w:rPr>
      </w:r>
    </w:p>
    <w:p>
      <w:pPr>
        <w:pStyle w:val="874"/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Поступили следующие  налоги: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т.руб.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-6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20"/>
        <w:gridCol w:w="1620"/>
        <w:gridCol w:w="1356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НДФЛ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108674,1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22698,4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20,9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совокупный доход (сельск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хозяйственный налог)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0,3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Налоги на имущество</w:t>
            </w:r>
            <w:r>
              <w:rPr>
                <w:sz w:val="24"/>
                <w:szCs w:val="24"/>
              </w:rPr>
              <w:t xml:space="preserve">,в т.ч.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45700,0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5141,2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11,2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физ.лиц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19100,0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1062,0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5,6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26600,0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4079,2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15,3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Акцизы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18718,6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4620,8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24,7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использования имущества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11914,5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2702,5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22,7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оказания платных услуг и компенсации 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трат государства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2474,8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1630,3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65,9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продажи </w:t>
            </w:r>
            <w:r>
              <w:rPr>
                <w:sz w:val="24"/>
                <w:szCs w:val="24"/>
              </w:rPr>
              <w:t xml:space="preserve"> материальных и нематериальных </w:t>
            </w:r>
            <w:r>
              <w:rPr>
                <w:sz w:val="24"/>
                <w:szCs w:val="24"/>
              </w:rPr>
              <w:t xml:space="preserve">активов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200,0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811,5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405,8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Штрафы, возмещение ущерба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273,0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</w:t>
            </w:r>
            <w:r>
              <w:rPr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5400,0</w:t>
            </w:r>
            <w:r>
              <w:rPr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174,7</w:t>
            </w:r>
            <w:r>
              <w:rPr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3,2</w:t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20" w:type="dxa"/>
            <w:vAlign w:val="top"/>
            <w:textDirection w:val="lrTb"/>
            <w:noWrap w:val="false"/>
          </w:tcPr>
          <w:p>
            <w:pPr>
              <w:pStyle w:val="8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собственных доходов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193082,0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356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38052,7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19,7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8220" w:type="dxa"/>
        <w:tblInd w:w="9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80"/>
        <w:gridCol w:w="1300"/>
        <w:gridCol w:w="1220"/>
        <w:gridCol w:w="1520"/>
      </w:tblGrid>
      <w:tr>
        <w:tblPrEx/>
        <w:trPr>
          <w:trHeight w:val="285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180" w:type="dxa"/>
            <w:vAlign w:val="center"/>
            <w:textDirection w:val="lrTb"/>
            <w:noWrap/>
          </w:tcPr>
          <w:p>
            <w:pPr>
              <w:pStyle w:val="87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30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22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520" w:type="dxa"/>
            <w:vAlign w:val="bottom"/>
            <w:textDirection w:val="lrTb"/>
            <w:noWrap/>
          </w:tcPr>
          <w:p>
            <w:pPr>
              <w:pStyle w:val="8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безвозмездным поступлениям исполнение составило </w:t>
      </w:r>
      <w:r>
        <w:rPr>
          <w:sz w:val="24"/>
          <w:szCs w:val="24"/>
        </w:rPr>
        <w:t xml:space="preserve">7304,8 тыс. .руб. при утвержденном    бюджете на год в объеме 158715,1  тыс.руб. или  4,6  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РАСХОДЫ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Расходная часть  местного бюджета исполнена в сумме</w:t>
      </w:r>
      <w:r>
        <w:rPr>
          <w:sz w:val="24"/>
          <w:szCs w:val="24"/>
        </w:rPr>
        <w:t xml:space="preserve"> 54270,2 тыс.руб. при утвержденном бюджете на год  390865,7  тыс.руб. или 13,9%.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течение </w:t>
      </w:r>
      <w:r>
        <w:rPr>
          <w:sz w:val="24"/>
          <w:szCs w:val="24"/>
        </w:rPr>
        <w:t xml:space="preserve">отчетного периода</w:t>
      </w:r>
      <w:r>
        <w:rPr>
          <w:sz w:val="24"/>
          <w:szCs w:val="24"/>
        </w:rPr>
        <w:t xml:space="preserve"> профинансированы </w:t>
      </w:r>
      <w:r>
        <w:rPr>
          <w:sz w:val="24"/>
          <w:szCs w:val="24"/>
        </w:rPr>
        <w:t xml:space="preserve">следующие расходы, предус</w:t>
      </w:r>
      <w:r>
        <w:rPr>
          <w:sz w:val="24"/>
          <w:szCs w:val="24"/>
        </w:rPr>
        <w:t xml:space="preserve">мотренные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местн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м бюджет</w:t>
      </w:r>
      <w:r>
        <w:rPr>
          <w:sz w:val="24"/>
          <w:szCs w:val="24"/>
        </w:rPr>
        <w:t xml:space="preserve">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01 «Общегосударственные вопросы»</w:t>
      </w:r>
      <w:r>
        <w:rPr>
          <w:sz w:val="24"/>
          <w:szCs w:val="24"/>
        </w:rPr>
        <w:t xml:space="preserve"> исполнение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дов составило 24122,8 т.руб. при утвержденном бюджете на год 104571,2 тыс.руб. или на 23,1%, т.ч по фонду оплаты труда 17096,5 т.руб. или 19,0%..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03 «Национальная безопасность и правоохранительная деятельность»</w:t>
      </w:r>
      <w:r>
        <w:rPr>
          <w:sz w:val="24"/>
          <w:szCs w:val="24"/>
        </w:rPr>
        <w:t xml:space="preserve"> исполнения нет.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04 «Национальная экономика»</w:t>
      </w:r>
      <w:r>
        <w:rPr>
          <w:sz w:val="24"/>
          <w:szCs w:val="24"/>
        </w:rPr>
        <w:t xml:space="preserve"> профинансированы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ды на 8,2% при плане на год 135768,5 тыс.руб. исполнено 11169,8 тыс.руб., направлено в том числе: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-содержание диспетчерских пунктов  и услуги перевозок по мун. маршруту 524,9 тыс.руб. или 16,1%.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-на дорожное хозяйство направлено 10285,5 тыс.руб. или 7,9%;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другие вопросы в области нац. экономики направлено 359,4  тыс.руб.или 22,1%.(фин-е ДНД, обслуживание и ремонт пожарных гидра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тов ,предоставление гранта)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05 «Жилищно-коммунальное хозяйство»</w:t>
      </w:r>
      <w:r>
        <w:rPr>
          <w:sz w:val="24"/>
          <w:szCs w:val="24"/>
        </w:rPr>
        <w:t xml:space="preserve"> в целом испо</w:t>
      </w:r>
      <w:r>
        <w:rPr>
          <w:sz w:val="24"/>
          <w:szCs w:val="24"/>
        </w:rPr>
        <w:t xml:space="preserve">л</w:t>
      </w:r>
      <w:r>
        <w:rPr>
          <w:sz w:val="24"/>
          <w:szCs w:val="24"/>
        </w:rPr>
        <w:t xml:space="preserve">нение по расходам составило 1770,2 тыс.руб. при утвержденном бюджете 54809,4 тыс.руб. или 3,2%.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разрезе подразделов бюджетной классификации расходы исполн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подразделу </w:t>
      </w:r>
      <w:r>
        <w:rPr>
          <w:b/>
          <w:sz w:val="24"/>
          <w:szCs w:val="24"/>
        </w:rPr>
        <w:t xml:space="preserve">01 «Жилищное хозяйство»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утвержденном бюджете на текущий год в сумме 1968,4 тыс.руб. исполнено 196,1 т.руб.или 10%. Расходы направлены на взносы по капитал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ному ремонту МКД.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 подразделу </w:t>
      </w:r>
      <w:r>
        <w:rPr>
          <w:b/>
          <w:sz w:val="24"/>
          <w:szCs w:val="24"/>
        </w:rPr>
        <w:t xml:space="preserve">02 «Коммунальное хозяйство»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подразделу при плане на год 14329,2 тыс.руб. исполнено 61,9 тыс.руб. или 0,4%. Расходы направлены на приобретение фекальных насосов..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подразделу </w:t>
      </w:r>
      <w:r>
        <w:rPr>
          <w:b/>
          <w:sz w:val="24"/>
          <w:szCs w:val="24"/>
        </w:rPr>
        <w:t xml:space="preserve">03 «Благ</w:t>
      </w:r>
      <w:r>
        <w:rPr>
          <w:b/>
          <w:sz w:val="24"/>
          <w:szCs w:val="24"/>
        </w:rPr>
        <w:t xml:space="preserve">о</w:t>
      </w:r>
      <w:r>
        <w:rPr>
          <w:b/>
          <w:sz w:val="24"/>
          <w:szCs w:val="24"/>
        </w:rPr>
        <w:t xml:space="preserve">устройство»</w:t>
      </w:r>
      <w:r>
        <w:rPr>
          <w:sz w:val="24"/>
          <w:szCs w:val="24"/>
        </w:rPr>
        <w:t xml:space="preserve"> исполнение составило в сумме   1512,2 тыс.руб. при утвержде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ном бюджете 38511,8 тыс.руб. или на 3,9%.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подразделу отражены следующие расходы: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содержание сетей уличного освещения, оплата электроэнергии за ул.освещение.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07 подразделу 07 «Молодежная политика»</w:t>
      </w:r>
      <w:r>
        <w:rPr>
          <w:sz w:val="24"/>
          <w:szCs w:val="24"/>
        </w:rPr>
        <w:t xml:space="preserve"> при утве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жденном плане 589,0 тыс.руб. исполнения нет.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разделу 08 подразделу 01 «Культура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в целом исполнение сост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вило 5037,9 тыс.руб. при утвержденном бюджете на год 26818,9 т.руб. или 18,8%.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МКУ «Библиотечное объединение ТГП» расходы исполнены в об</w:t>
      </w:r>
      <w:r>
        <w:rPr>
          <w:sz w:val="24"/>
          <w:szCs w:val="24"/>
        </w:rPr>
        <w:t xml:space="preserve">ъ</w:t>
      </w:r>
      <w:r>
        <w:rPr>
          <w:sz w:val="24"/>
          <w:szCs w:val="24"/>
        </w:rPr>
        <w:t xml:space="preserve">еме 4278,1 тыс.руб. при плане 23888,9 тыс.руб. или 17,9%. В том числе направлено на заработную плату  3659,6 т.руб. при плане 20460,9 т.руб. или 17,9%.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проведение общегородских мероприятий направлено 759,8 тыс.руб. при плане 2930,0 тыс.руб. или 25,9%.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 </w:t>
      </w:r>
      <w:r>
        <w:rPr>
          <w:b/>
          <w:sz w:val="24"/>
          <w:szCs w:val="24"/>
        </w:rPr>
        <w:t xml:space="preserve">10 «Социальная политика»</w:t>
      </w:r>
      <w:r>
        <w:rPr>
          <w:sz w:val="24"/>
          <w:szCs w:val="24"/>
        </w:rPr>
        <w:t xml:space="preserve"> исполнение расходов состав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ло 6504,4 тыс.руб. при плане на год 12879,9 тыс.руб. или на 50,5%. В объем  расходов включены: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выплата пенсии за выслугу лет муниципальным служащим и доплата к пенсии почетным гражданам  в сумме 1860,9 тыс.руб. или 24,3%;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-расходы на реализацию программы «Молодым семьям доступное ж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лье» в сумме 4518,7 тыс.руб. или 96,2%, за федерального, областного и мес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ного бюджетов. В этом году выдано 2 сертификата на улучшение жилищных условий молодых семей.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финансовая помощь общественным организациям в сумме 124,8 тыс.руб. или 24,3%;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разделу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11 подразделу  02 «Физическая культура и спорт»</w:t>
      </w:r>
      <w:r>
        <w:rPr>
          <w:sz w:val="24"/>
          <w:szCs w:val="24"/>
        </w:rPr>
        <w:t xml:space="preserve"> расх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ды провед</w:t>
      </w:r>
      <w:r>
        <w:rPr>
          <w:sz w:val="24"/>
          <w:szCs w:val="24"/>
        </w:rPr>
        <w:t xml:space="preserve">ены в сумме 5665,1 тыс.руб. при утвержденном бюджете 52707,0 тыс.руб. или 10,7%., в том числе на оплату труда направлено 4454,4 тыс.руб. при плане 29597,5 тыс.руб. или 15%. Расходы направлены на содержание учреждения и  на проведение спортивных мероприятий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 состоянию на 01.</w:t>
      </w:r>
      <w:r>
        <w:rPr>
          <w:sz w:val="24"/>
          <w:szCs w:val="24"/>
        </w:rPr>
        <w:t xml:space="preserve">04.2025</w:t>
      </w:r>
      <w:r>
        <w:rPr>
          <w:sz w:val="24"/>
          <w:szCs w:val="24"/>
        </w:rPr>
        <w:t xml:space="preserve"> года администрация Тайшетского горо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ского поселения не имеет задолженности по невыплаченной заработной пл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те и социальным </w:t>
      </w:r>
      <w:r>
        <w:rPr>
          <w:sz w:val="24"/>
          <w:szCs w:val="24"/>
        </w:rPr>
        <w:t xml:space="preserve">налогам.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4"/>
        <w:ind w:firstLine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исп.Витрук О.А.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right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separate"/>
    </w:r>
    <w:r>
      <w:rPr>
        <w:rStyle w:val="876"/>
      </w:rPr>
      <w:t xml:space="preserve">5</w: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6"/>
      </w:rPr>
      <w:framePr w:wrap="around" w:vAnchor="text" w:hAnchor="margin" w:xAlign="right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5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link w:val="724"/>
    <w:uiPriority w:val="35"/>
    <w:rPr>
      <w:b/>
      <w:bCs/>
      <w:color w:val="4f81bd" w:themeColor="accent1"/>
      <w:sz w:val="18"/>
      <w:szCs w:val="18"/>
    </w:rPr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Основной текст"/>
    <w:basedOn w:val="870"/>
    <w:next w:val="874"/>
    <w:link w:val="880"/>
    <w:pPr>
      <w:jc w:val="both"/>
    </w:pPr>
    <w:rPr>
      <w:sz w:val="28"/>
      <w:szCs w:val="20"/>
    </w:rPr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character" w:styleId="876">
    <w:name w:val="Номер страницы"/>
    <w:basedOn w:val="871"/>
    <w:next w:val="876"/>
    <w:link w:val="870"/>
  </w:style>
  <w:style w:type="table" w:styleId="877">
    <w:name w:val="Сетка таблицы"/>
    <w:basedOn w:val="872"/>
    <w:next w:val="877"/>
    <w:link w:val="870"/>
    <w:tblPr/>
  </w:style>
  <w:style w:type="paragraph" w:styleId="878">
    <w:name w:val="Текст выноски"/>
    <w:basedOn w:val="870"/>
    <w:next w:val="878"/>
    <w:link w:val="879"/>
    <w:rPr>
      <w:rFonts w:ascii="Tahoma" w:hAnsi="Tahoma" w:cs="Tahoma"/>
      <w:sz w:val="16"/>
      <w:szCs w:val="16"/>
    </w:rPr>
  </w:style>
  <w:style w:type="character" w:styleId="879">
    <w:name w:val="Текст выноски Знак"/>
    <w:next w:val="879"/>
    <w:link w:val="878"/>
    <w:rPr>
      <w:rFonts w:ascii="Tahoma" w:hAnsi="Tahoma" w:cs="Tahoma"/>
      <w:sz w:val="16"/>
      <w:szCs w:val="16"/>
    </w:rPr>
  </w:style>
  <w:style w:type="character" w:styleId="880">
    <w:name w:val="Основной текст Знак"/>
    <w:next w:val="880"/>
    <w:link w:val="874"/>
    <w:rPr>
      <w:sz w:val="28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Orgotd3</dc:creator>
  <cp:lastModifiedBy>elizarova</cp:lastModifiedBy>
  <cp:revision>31</cp:revision>
  <dcterms:created xsi:type="dcterms:W3CDTF">2024-05-03T05:03:00Z</dcterms:created>
  <dcterms:modified xsi:type="dcterms:W3CDTF">2025-04-16T05:36:22Z</dcterms:modified>
  <cp:version>917504</cp:version>
</cp:coreProperties>
</file>