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Российская Федерация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Иркутская область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Муниципальное образование «Тайшетский район»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840"/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Тайшетское муниципальное образование </w:t>
      </w:r>
      <w:r>
        <w:rPr>
          <w:b/>
          <w:sz w:val="24"/>
          <w:szCs w:val="24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 xml:space="preserve">«Тайшетское городское поселение»</w:t>
      </w:r>
      <w:r>
        <w:rPr>
          <w:b/>
          <w:sz w:val="24"/>
          <w:szCs w:val="24"/>
        </w:rPr>
      </w:r>
      <w:r/>
    </w:p>
    <w:p>
      <w:pPr>
        <w:pStyle w:val="8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ТАЙШЕТСКОГО ГОРОДСКОГО ПОСЕЛЕНИЯ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40"/>
        <w:jc w:val="center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 О С Т А Н О В Л Е Н И 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От </w:t>
      </w:r>
      <w:r>
        <w:rPr>
          <w:b w:val="0"/>
          <w:bCs w:val="0"/>
          <w:sz w:val="24"/>
          <w:szCs w:val="24"/>
        </w:rPr>
        <w:t xml:space="preserve">30.05.</w:t>
      </w:r>
      <w:r>
        <w:rPr>
          <w:b w:val="0"/>
          <w:bCs w:val="0"/>
          <w:sz w:val="24"/>
          <w:szCs w:val="24"/>
        </w:rPr>
        <w:t xml:space="preserve">2025</w:t>
      </w:r>
      <w:r>
        <w:rPr>
          <w:b w:val="0"/>
          <w:bCs w:val="0"/>
          <w:sz w:val="24"/>
          <w:szCs w:val="24"/>
        </w:rPr>
        <w:t xml:space="preserve">г</w:t>
      </w:r>
      <w:r>
        <w:rPr>
          <w:b w:val="0"/>
          <w:bCs w:val="0"/>
          <w:sz w:val="24"/>
          <w:szCs w:val="24"/>
        </w:rPr>
        <w:t xml:space="preserve"> </w:t>
      </w:r>
      <w:r>
        <w:rPr>
          <w:b w:val="0"/>
          <w:bCs w:val="0"/>
          <w:sz w:val="24"/>
          <w:szCs w:val="24"/>
        </w:rPr>
        <w:t xml:space="preserve">.</w:t>
        <w:tab/>
        <w:tab/>
        <w:tab/>
        <w:tab/>
        <w:t xml:space="preserve">г.Тайшет</w:t>
        <w:tab/>
        <w:tab/>
        <w:tab/>
        <w:tab/>
        <w:tab/>
        <w:t xml:space="preserve">№</w:t>
      </w:r>
      <w:r>
        <w:rPr>
          <w:b w:val="0"/>
          <w:bCs w:val="0"/>
          <w:sz w:val="24"/>
          <w:szCs w:val="24"/>
        </w:rPr>
        <w:t xml:space="preserve">437</w:t>
      </w:r>
      <w:r>
        <w:rPr>
          <w:b w:val="0"/>
          <w:bCs w:val="0"/>
          <w:sz w:val="24"/>
          <w:szCs w:val="24"/>
        </w:rPr>
      </w:r>
    </w:p>
    <w:p>
      <w:pPr>
        <w:pStyle w:val="84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right="4989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О</w:t>
      </w:r>
      <w:r>
        <w:rPr>
          <w:b w:val="0"/>
          <w:bCs w:val="0"/>
          <w:sz w:val="24"/>
          <w:szCs w:val="24"/>
        </w:rPr>
        <w:t xml:space="preserve"> признани</w:t>
      </w:r>
      <w:r>
        <w:rPr>
          <w:b w:val="0"/>
          <w:bCs w:val="0"/>
          <w:sz w:val="24"/>
          <w:szCs w:val="24"/>
        </w:rPr>
        <w:t xml:space="preserve">и</w:t>
      </w:r>
      <w:r>
        <w:rPr>
          <w:b w:val="0"/>
          <w:bCs w:val="0"/>
          <w:sz w:val="24"/>
          <w:szCs w:val="24"/>
        </w:rPr>
        <w:t xml:space="preserve"> жилого помещения, расположенного по адресу: город 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Тайшет, </w:t>
      </w:r>
      <w:r>
        <w:rPr>
          <w:b w:val="0"/>
          <w:bCs w:val="0"/>
          <w:sz w:val="24"/>
          <w:szCs w:val="24"/>
        </w:rPr>
        <w:t xml:space="preserve">улица Пионерская</w:t>
      </w:r>
      <w:r>
        <w:rPr>
          <w:b w:val="0"/>
          <w:bCs w:val="0"/>
          <w:sz w:val="24"/>
          <w:szCs w:val="24"/>
        </w:rPr>
        <w:t xml:space="preserve">, дом 9</w:t>
      </w:r>
      <w:r>
        <w:rPr>
          <w:b w:val="0"/>
          <w:bCs w:val="0"/>
          <w:sz w:val="24"/>
          <w:szCs w:val="24"/>
        </w:rPr>
        <w:t xml:space="preserve">, непригодным для проживания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right="5394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firstLine="720"/>
        <w:jc w:val="both"/>
        <w:keepNext w:val="0"/>
        <w:spacing w:before="0"/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outlineLvl w:val="0"/>
        <w:suppressLineNumbers w:val="0"/>
      </w:pPr>
      <w:r>
        <w:rPr>
          <w:rFonts w:ascii="Cambria" w:hAnsi="Cambria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а ос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новании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заключени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я</w:t>
      </w:r>
      <w:r>
        <w:rPr>
          <w:b w:val="0"/>
          <w:bCs w:val="0"/>
          <w:sz w:val="24"/>
          <w:szCs w:val="24"/>
        </w:rPr>
        <w:t xml:space="preserve"> межведомственной комиссии </w:t>
      </w:r>
      <w:r>
        <w:rPr>
          <w:b w:val="0"/>
          <w:bCs w:val="0"/>
          <w:sz w:val="24"/>
          <w:szCs w:val="24"/>
        </w:rPr>
        <w:t xml:space="preserve">от 07 мая 2025 года №10</w:t>
      </w:r>
      <w:r>
        <w:rPr>
          <w:b w:val="0"/>
          <w:bCs w:val="0"/>
          <w:sz w:val="24"/>
          <w:szCs w:val="24"/>
        </w:rPr>
        <w:t xml:space="preserve"> об оценки соответствия помещения (многоквартирного дома)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требованиям, установленным в Положении о признании помещения жилым помещением, жилого помещения непригодным для проживания, многоквартирного дома аварийным и подлежащим сносу  или рекон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струкции, садового дома жилым домом и жилого дома садовым домом</w:t>
      </w:r>
      <w:r>
        <w:rPr>
          <w:b w:val="0"/>
          <w:bCs w:val="0"/>
          <w:sz w:val="24"/>
          <w:szCs w:val="24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заключени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я</w:t>
      </w:r>
      <w:r>
        <w:rPr>
          <w:b w:val="0"/>
          <w:bCs w:val="0"/>
          <w:sz w:val="24"/>
          <w:szCs w:val="24"/>
        </w:rPr>
        <w:t xml:space="preserve"> специалиста от 07 мая 2025 №250238 по результатам обследования объекта капитального строительства </w:t>
      </w:r>
      <w:r>
        <w:rPr>
          <w:b w:val="0"/>
          <w:bCs w:val="0"/>
          <w:sz w:val="24"/>
          <w:szCs w:val="24"/>
        </w:rPr>
        <w:t xml:space="preserve">ООО «</w:t>
      </w:r>
      <w:r>
        <w:rPr>
          <w:b w:val="0"/>
          <w:bCs w:val="0"/>
          <w:sz w:val="24"/>
          <w:szCs w:val="24"/>
        </w:rPr>
        <w:t xml:space="preserve">Центр экспертизы, оценки консалтинга</w:t>
      </w:r>
      <w:r>
        <w:rPr>
          <w:b w:val="0"/>
          <w:bCs w:val="0"/>
          <w:sz w:val="24"/>
          <w:szCs w:val="24"/>
        </w:rPr>
        <w:t xml:space="preserve"> «Сампад»,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р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уководствуясь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стать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ей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14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Жилищного кодекса Российской Федерации, По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становлением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, садового дома жилым домом и жилого дома садовым домом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»,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Уставом Тайшетского муниципального образования «Тайшетское городское поселение», администрация Тайшетского городского поселения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p>
      <w:pPr>
        <w:pStyle w:val="845"/>
        <w:ind w:firstLine="0"/>
        <w:jc w:val="both"/>
        <w:widowControl/>
        <w:rPr>
          <w:b w:val="0"/>
          <w:bCs w:val="0"/>
          <w:spacing w:val="-2"/>
          <w:sz w:val="24"/>
          <w:szCs w:val="24"/>
        </w:rPr>
      </w:pP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845"/>
        <w:ind w:firstLine="0"/>
        <w:jc w:val="both"/>
        <w:widowControl/>
        <w:rPr>
          <w:b/>
          <w:spacing w:val="-2"/>
          <w:sz w:val="28"/>
          <w:szCs w:val="28"/>
        </w:rPr>
      </w:pPr>
      <w:r>
        <w:rPr>
          <w:b/>
          <w:spacing w:val="-2"/>
          <w:sz w:val="28"/>
          <w:szCs w:val="28"/>
        </w:rPr>
        <w:t xml:space="preserve">П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О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С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Т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А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Н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О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В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Л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Я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  <w:t xml:space="preserve"> Е Т</w:t>
      </w:r>
      <w:r>
        <w:rPr>
          <w:b/>
          <w:spacing w:val="-2"/>
          <w:sz w:val="28"/>
          <w:szCs w:val="28"/>
        </w:rPr>
        <w:t xml:space="preserve">:</w:t>
      </w:r>
      <w:r>
        <w:rPr>
          <w:b/>
          <w:spacing w:val="-2"/>
          <w:sz w:val="28"/>
          <w:szCs w:val="28"/>
        </w:rPr>
        <w:t xml:space="preserve"> </w:t>
      </w:r>
      <w:r>
        <w:rPr>
          <w:b/>
          <w:spacing w:val="-2"/>
          <w:sz w:val="28"/>
          <w:szCs w:val="28"/>
        </w:rPr>
      </w:r>
      <w:r>
        <w:rPr>
          <w:b/>
          <w:spacing w:val="-2"/>
          <w:sz w:val="28"/>
          <w:szCs w:val="28"/>
        </w:rPr>
      </w:r>
    </w:p>
    <w:p>
      <w:pPr>
        <w:pStyle w:val="845"/>
        <w:ind w:firstLine="0"/>
        <w:jc w:val="both"/>
        <w:widowControl/>
        <w:rPr>
          <w:b w:val="0"/>
          <w:bCs w:val="0"/>
          <w:spacing w:val="-2"/>
          <w:sz w:val="24"/>
          <w:szCs w:val="24"/>
        </w:rPr>
      </w:pP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840"/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1. </w:t>
      </w:r>
      <w:r>
        <w:rPr>
          <w:b w:val="0"/>
          <w:bCs w:val="0"/>
          <w:sz w:val="24"/>
          <w:szCs w:val="24"/>
        </w:rPr>
        <w:t xml:space="preserve">Признать</w:t>
      </w:r>
      <w:r>
        <w:rPr>
          <w:b w:val="0"/>
          <w:bCs w:val="0"/>
          <w:sz w:val="24"/>
          <w:szCs w:val="24"/>
        </w:rPr>
        <w:t xml:space="preserve"> жило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помещени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общей площадью 42,6 м</w:t>
      </w:r>
      <w:r>
        <w:rPr>
          <w:b w:val="0"/>
          <w:bCs w:val="0"/>
          <w:sz w:val="24"/>
          <w:szCs w:val="24"/>
          <w:vertAlign w:val="superscript"/>
        </w:rPr>
        <w:t xml:space="preserve">2</w:t>
      </w:r>
      <w:r>
        <w:rPr>
          <w:b w:val="0"/>
          <w:bCs w:val="0"/>
          <w:sz w:val="24"/>
          <w:szCs w:val="24"/>
        </w:rPr>
        <w:t xml:space="preserve">, расположенно</w:t>
      </w:r>
      <w:r>
        <w:rPr>
          <w:b w:val="0"/>
          <w:bCs w:val="0"/>
          <w:sz w:val="24"/>
          <w:szCs w:val="24"/>
        </w:rPr>
        <w:t xml:space="preserve">е</w:t>
      </w:r>
      <w:r>
        <w:rPr>
          <w:b w:val="0"/>
          <w:bCs w:val="0"/>
          <w:sz w:val="24"/>
          <w:szCs w:val="24"/>
        </w:rPr>
        <w:t xml:space="preserve"> по адресу: город Тайшет, </w:t>
      </w:r>
      <w:r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  <w:t xml:space="preserve">улица </w:t>
      </w:r>
      <w:r>
        <w:rPr>
          <w:b w:val="0"/>
          <w:bCs w:val="0"/>
          <w:sz w:val="24"/>
          <w:szCs w:val="24"/>
        </w:rPr>
        <w:t xml:space="preserve">Пионерская, дом 9</w:t>
      </w:r>
      <w:r>
        <w:rPr>
          <w:b w:val="0"/>
          <w:bCs w:val="0"/>
          <w:sz w:val="24"/>
          <w:szCs w:val="24"/>
        </w:rPr>
        <w:t xml:space="preserve"> (кадастровый номер 38:29:</w:t>
      </w:r>
      <w:r>
        <w:rPr>
          <w:b w:val="0"/>
          <w:bCs w:val="0"/>
          <w:sz w:val="24"/>
          <w:szCs w:val="24"/>
        </w:rPr>
        <w:t xml:space="preserve">030108:309), </w:t>
      </w:r>
      <w:r>
        <w:rPr>
          <w:b w:val="0"/>
          <w:bCs w:val="0"/>
          <w:sz w:val="24"/>
          <w:szCs w:val="24"/>
        </w:rPr>
        <w:t xml:space="preserve">непригодным для проживания</w:t>
      </w:r>
      <w:r>
        <w:rPr>
          <w:b w:val="0"/>
          <w:bCs w:val="0"/>
          <w:sz w:val="24"/>
          <w:szCs w:val="24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ind w:firstLine="720"/>
        <w:jc w:val="both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2.</w:t>
      </w:r>
      <w:r>
        <w:rPr>
          <w:b w:val="0"/>
          <w:bCs w:val="0"/>
          <w:sz w:val="24"/>
          <w:szCs w:val="24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none"/>
        </w:rPr>
        <w:t xml:space="preserve">Отделу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  <w:highlight w:val="none"/>
        </w:rPr>
        <w:t xml:space="preserve">жилищно-коммунального хозяйства администрации Тайшетского городского поселения (Л.Н. Мамонова) в пятидневный срок со дня принятия настоящего постановления направить по 1-му экземпляру постановления и заключения межведомственной комиссии заявителю, в орган </w:t>
      </w:r>
      <w:r>
        <w:rPr>
          <w:rFonts w:ascii="Times New Roman" w:hAnsi="Times New Roman" w:eastAsia="Times New Roman" w:cs="Times New Roman"/>
          <w:b w:val="0"/>
          <w:bCs w:val="0"/>
          <w:color w:val="000000" w:themeColor="text1"/>
          <w:sz w:val="24"/>
          <w:szCs w:val="24"/>
        </w:rPr>
        <w:t xml:space="preserve">государственного жилищного и строительного надзора Иркутской области</w:t>
      </w:r>
      <w:r>
        <w:rPr>
          <w:b w:val="0"/>
          <w:bCs w:val="0"/>
          <w:sz w:val="24"/>
          <w:szCs w:val="24"/>
          <w:highlight w:val="none"/>
        </w:rPr>
        <w:t xml:space="preserve">.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Глава</w:t>
      </w:r>
      <w:r>
        <w:rPr>
          <w:b w:val="0"/>
          <w:bCs w:val="0"/>
          <w:sz w:val="24"/>
          <w:szCs w:val="24"/>
        </w:rPr>
        <w:t xml:space="preserve"> Тайшетского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городского поселения</w:t>
        <w:tab/>
        <w:tab/>
        <w:tab/>
        <w:tab/>
        <w:tab/>
        <w:tab/>
        <w:tab/>
        <w:tab/>
      </w:r>
      <w:r>
        <w:rPr>
          <w:b w:val="0"/>
          <w:bCs w:val="0"/>
          <w:sz w:val="24"/>
          <w:szCs w:val="24"/>
        </w:rPr>
        <w:t xml:space="preserve">Р.О. Леоненко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Исп.: </w:t>
      </w:r>
      <w:r>
        <w:rPr>
          <w:b w:val="0"/>
          <w:bCs w:val="0"/>
          <w:sz w:val="24"/>
          <w:szCs w:val="24"/>
        </w:rPr>
        <w:t xml:space="preserve">Кобзева В.С.</w:t>
      </w:r>
      <w:r>
        <w:rPr>
          <w:b w:val="0"/>
          <w:bCs w:val="0"/>
          <w:sz w:val="24"/>
          <w:szCs w:val="24"/>
        </w:rPr>
      </w:r>
    </w:p>
    <w:p>
      <w:pPr>
        <w:pStyle w:val="840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т</w:t>
      </w:r>
      <w:r>
        <w:rPr>
          <w:b w:val="0"/>
          <w:bCs w:val="0"/>
          <w:sz w:val="24"/>
          <w:szCs w:val="24"/>
        </w:rPr>
        <w:t xml:space="preserve">ел.</w:t>
      </w:r>
      <w:r>
        <w:rPr>
          <w:b w:val="0"/>
          <w:bCs w:val="0"/>
          <w:sz w:val="24"/>
          <w:szCs w:val="24"/>
        </w:rPr>
        <w:t xml:space="preserve">2</w:t>
      </w:r>
      <w:r>
        <w:rPr>
          <w:b w:val="0"/>
          <w:bCs w:val="0"/>
          <w:sz w:val="24"/>
          <w:szCs w:val="24"/>
        </w:rPr>
        <w:t xml:space="preserve">-04-27</w:t>
      </w:r>
      <w:r>
        <w:rPr>
          <w:b w:val="0"/>
          <w:bCs w:val="0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080" w:hanging="360"/>
        <w:tabs>
          <w:tab w:val="num" w:pos="10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800" w:hanging="18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520" w:hanging="360"/>
        <w:tabs>
          <w:tab w:val="num" w:pos="25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240" w:hanging="360"/>
        <w:tabs>
          <w:tab w:val="num" w:pos="32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3960" w:hanging="180"/>
        <w:tabs>
          <w:tab w:val="num" w:pos="39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680" w:hanging="360"/>
        <w:tabs>
          <w:tab w:val="num" w:pos="46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400" w:hanging="360"/>
        <w:tabs>
          <w:tab w:val="num" w:pos="54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120" w:hanging="180"/>
        <w:tabs>
          <w:tab w:val="num" w:pos="6120" w:leader="none"/>
        </w:tabs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35" w:hanging="795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2">
    <w:name w:val="Heading 1"/>
    <w:basedOn w:val="840"/>
    <w:next w:val="840"/>
    <w:link w:val="6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3">
    <w:name w:val="Heading 1 Char"/>
    <w:link w:val="662"/>
    <w:uiPriority w:val="9"/>
    <w:rPr>
      <w:rFonts w:ascii="Arial" w:hAnsi="Arial" w:eastAsia="Arial" w:cs="Arial"/>
      <w:sz w:val="40"/>
      <w:szCs w:val="40"/>
    </w:rPr>
  </w:style>
  <w:style w:type="paragraph" w:styleId="664">
    <w:name w:val="Heading 2"/>
    <w:basedOn w:val="840"/>
    <w:next w:val="840"/>
    <w:link w:val="66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5">
    <w:name w:val="Heading 2 Char"/>
    <w:link w:val="664"/>
    <w:uiPriority w:val="9"/>
    <w:rPr>
      <w:rFonts w:ascii="Arial" w:hAnsi="Arial" w:eastAsia="Arial" w:cs="Arial"/>
      <w:sz w:val="34"/>
    </w:rPr>
  </w:style>
  <w:style w:type="paragraph" w:styleId="666">
    <w:name w:val="Heading 3"/>
    <w:basedOn w:val="840"/>
    <w:next w:val="840"/>
    <w:link w:val="66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7">
    <w:name w:val="Heading 3 Char"/>
    <w:link w:val="666"/>
    <w:uiPriority w:val="9"/>
    <w:rPr>
      <w:rFonts w:ascii="Arial" w:hAnsi="Arial" w:eastAsia="Arial" w:cs="Arial"/>
      <w:sz w:val="30"/>
      <w:szCs w:val="30"/>
    </w:rPr>
  </w:style>
  <w:style w:type="paragraph" w:styleId="668">
    <w:name w:val="Heading 4"/>
    <w:basedOn w:val="840"/>
    <w:next w:val="840"/>
    <w:link w:val="66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9">
    <w:name w:val="Heading 4 Char"/>
    <w:link w:val="668"/>
    <w:uiPriority w:val="9"/>
    <w:rPr>
      <w:rFonts w:ascii="Arial" w:hAnsi="Arial" w:eastAsia="Arial" w:cs="Arial"/>
      <w:b/>
      <w:bCs/>
      <w:sz w:val="26"/>
      <w:szCs w:val="26"/>
    </w:rPr>
  </w:style>
  <w:style w:type="paragraph" w:styleId="670">
    <w:name w:val="Heading 5"/>
    <w:basedOn w:val="840"/>
    <w:next w:val="840"/>
    <w:link w:val="67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1">
    <w:name w:val="Heading 5 Char"/>
    <w:link w:val="670"/>
    <w:uiPriority w:val="9"/>
    <w:rPr>
      <w:rFonts w:ascii="Arial" w:hAnsi="Arial" w:eastAsia="Arial" w:cs="Arial"/>
      <w:b/>
      <w:bCs/>
      <w:sz w:val="24"/>
      <w:szCs w:val="24"/>
    </w:rPr>
  </w:style>
  <w:style w:type="paragraph" w:styleId="672">
    <w:name w:val="Heading 6"/>
    <w:basedOn w:val="840"/>
    <w:next w:val="840"/>
    <w:link w:val="67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3">
    <w:name w:val="Heading 6 Char"/>
    <w:link w:val="672"/>
    <w:uiPriority w:val="9"/>
    <w:rPr>
      <w:rFonts w:ascii="Arial" w:hAnsi="Arial" w:eastAsia="Arial" w:cs="Arial"/>
      <w:b/>
      <w:bCs/>
      <w:sz w:val="22"/>
      <w:szCs w:val="22"/>
    </w:rPr>
  </w:style>
  <w:style w:type="paragraph" w:styleId="674">
    <w:name w:val="Heading 7"/>
    <w:basedOn w:val="840"/>
    <w:next w:val="840"/>
    <w:link w:val="67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5">
    <w:name w:val="Heading 7 Char"/>
    <w:link w:val="67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6">
    <w:name w:val="Heading 8"/>
    <w:basedOn w:val="840"/>
    <w:next w:val="840"/>
    <w:link w:val="67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7">
    <w:name w:val="Heading 8 Char"/>
    <w:link w:val="676"/>
    <w:uiPriority w:val="9"/>
    <w:rPr>
      <w:rFonts w:ascii="Arial" w:hAnsi="Arial" w:eastAsia="Arial" w:cs="Arial"/>
      <w:i/>
      <w:iCs/>
      <w:sz w:val="22"/>
      <w:szCs w:val="22"/>
    </w:rPr>
  </w:style>
  <w:style w:type="paragraph" w:styleId="678">
    <w:name w:val="Heading 9"/>
    <w:basedOn w:val="840"/>
    <w:next w:val="840"/>
    <w:link w:val="67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9">
    <w:name w:val="Heading 9 Char"/>
    <w:link w:val="678"/>
    <w:uiPriority w:val="9"/>
    <w:rPr>
      <w:rFonts w:ascii="Arial" w:hAnsi="Arial" w:eastAsia="Arial" w:cs="Arial"/>
      <w:i/>
      <w:iCs/>
      <w:sz w:val="21"/>
      <w:szCs w:val="21"/>
    </w:rPr>
  </w:style>
  <w:style w:type="paragraph" w:styleId="680">
    <w:name w:val="List Paragraph"/>
    <w:basedOn w:val="840"/>
    <w:uiPriority w:val="34"/>
    <w:qFormat/>
    <w:pPr>
      <w:contextualSpacing/>
      <w:ind w:left="720"/>
    </w:pPr>
  </w:style>
  <w:style w:type="paragraph" w:styleId="681">
    <w:name w:val="No Spacing"/>
    <w:uiPriority w:val="1"/>
    <w:qFormat/>
    <w:pPr>
      <w:spacing w:before="0" w:after="0" w:line="240" w:lineRule="auto"/>
    </w:pPr>
  </w:style>
  <w:style w:type="paragraph" w:styleId="682">
    <w:name w:val="Title"/>
    <w:basedOn w:val="840"/>
    <w:next w:val="840"/>
    <w:link w:val="68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3">
    <w:name w:val="Title Char"/>
    <w:link w:val="682"/>
    <w:uiPriority w:val="10"/>
    <w:rPr>
      <w:sz w:val="48"/>
      <w:szCs w:val="48"/>
    </w:rPr>
  </w:style>
  <w:style w:type="paragraph" w:styleId="684">
    <w:name w:val="Subtitle"/>
    <w:basedOn w:val="840"/>
    <w:next w:val="840"/>
    <w:link w:val="685"/>
    <w:uiPriority w:val="11"/>
    <w:qFormat/>
    <w:pPr>
      <w:spacing w:before="200" w:after="200"/>
    </w:pPr>
    <w:rPr>
      <w:sz w:val="24"/>
      <w:szCs w:val="24"/>
    </w:rPr>
  </w:style>
  <w:style w:type="character" w:styleId="685">
    <w:name w:val="Subtitle Char"/>
    <w:link w:val="684"/>
    <w:uiPriority w:val="11"/>
    <w:rPr>
      <w:sz w:val="24"/>
      <w:szCs w:val="24"/>
    </w:rPr>
  </w:style>
  <w:style w:type="paragraph" w:styleId="686">
    <w:name w:val="Quote"/>
    <w:basedOn w:val="840"/>
    <w:next w:val="840"/>
    <w:link w:val="687"/>
    <w:uiPriority w:val="29"/>
    <w:qFormat/>
    <w:pPr>
      <w:ind w:left="720" w:right="720"/>
    </w:pPr>
    <w:rPr>
      <w:i/>
    </w:rPr>
  </w:style>
  <w:style w:type="character" w:styleId="687">
    <w:name w:val="Quote Char"/>
    <w:link w:val="686"/>
    <w:uiPriority w:val="29"/>
    <w:rPr>
      <w:i/>
    </w:rPr>
  </w:style>
  <w:style w:type="paragraph" w:styleId="688">
    <w:name w:val="Intense Quote"/>
    <w:basedOn w:val="840"/>
    <w:next w:val="840"/>
    <w:link w:val="68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9">
    <w:name w:val="Intense Quote Char"/>
    <w:link w:val="688"/>
    <w:uiPriority w:val="30"/>
    <w:rPr>
      <w:i/>
    </w:rPr>
  </w:style>
  <w:style w:type="paragraph" w:styleId="690">
    <w:name w:val="Header"/>
    <w:basedOn w:val="840"/>
    <w:link w:val="69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1">
    <w:name w:val="Header Char"/>
    <w:link w:val="690"/>
    <w:uiPriority w:val="99"/>
  </w:style>
  <w:style w:type="paragraph" w:styleId="692">
    <w:name w:val="Footer"/>
    <w:basedOn w:val="840"/>
    <w:link w:val="69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3">
    <w:name w:val="Footer Char"/>
    <w:link w:val="692"/>
    <w:uiPriority w:val="99"/>
  </w:style>
  <w:style w:type="paragraph" w:styleId="694">
    <w:name w:val="Caption"/>
    <w:basedOn w:val="840"/>
    <w:next w:val="84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5">
    <w:name w:val="Caption Char"/>
    <w:basedOn w:val="694"/>
    <w:link w:val="692"/>
    <w:uiPriority w:val="99"/>
  </w:style>
  <w:style w:type="table" w:styleId="69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2">
    <w:name w:val="Hyperlink"/>
    <w:uiPriority w:val="99"/>
    <w:unhideWhenUsed/>
    <w:rPr>
      <w:color w:val="0000ff" w:themeColor="hyperlink"/>
      <w:u w:val="single"/>
    </w:rPr>
  </w:style>
  <w:style w:type="paragraph" w:styleId="823">
    <w:name w:val="footnote text"/>
    <w:basedOn w:val="840"/>
    <w:link w:val="824"/>
    <w:uiPriority w:val="99"/>
    <w:semiHidden/>
    <w:unhideWhenUsed/>
    <w:pPr>
      <w:spacing w:after="40" w:line="240" w:lineRule="auto"/>
    </w:pPr>
    <w:rPr>
      <w:sz w:val="18"/>
    </w:rPr>
  </w:style>
  <w:style w:type="character" w:styleId="824">
    <w:name w:val="Footnote Text Char"/>
    <w:link w:val="823"/>
    <w:uiPriority w:val="99"/>
    <w:rPr>
      <w:sz w:val="18"/>
    </w:rPr>
  </w:style>
  <w:style w:type="character" w:styleId="825">
    <w:name w:val="footnote reference"/>
    <w:uiPriority w:val="99"/>
    <w:unhideWhenUsed/>
    <w:rPr>
      <w:vertAlign w:val="superscript"/>
    </w:rPr>
  </w:style>
  <w:style w:type="paragraph" w:styleId="826">
    <w:name w:val="endnote text"/>
    <w:basedOn w:val="840"/>
    <w:link w:val="827"/>
    <w:uiPriority w:val="99"/>
    <w:semiHidden/>
    <w:unhideWhenUsed/>
    <w:pPr>
      <w:spacing w:after="0" w:line="240" w:lineRule="auto"/>
    </w:pPr>
    <w:rPr>
      <w:sz w:val="20"/>
    </w:rPr>
  </w:style>
  <w:style w:type="character" w:styleId="827">
    <w:name w:val="Endnote Text Char"/>
    <w:link w:val="826"/>
    <w:uiPriority w:val="99"/>
    <w:rPr>
      <w:sz w:val="20"/>
    </w:rPr>
  </w:style>
  <w:style w:type="character" w:styleId="828">
    <w:name w:val="endnote reference"/>
    <w:uiPriority w:val="99"/>
    <w:semiHidden/>
    <w:unhideWhenUsed/>
    <w:rPr>
      <w:vertAlign w:val="superscript"/>
    </w:rPr>
  </w:style>
  <w:style w:type="paragraph" w:styleId="829">
    <w:name w:val="toc 1"/>
    <w:basedOn w:val="840"/>
    <w:next w:val="840"/>
    <w:uiPriority w:val="39"/>
    <w:unhideWhenUsed/>
    <w:pPr>
      <w:ind w:left="0" w:right="0" w:firstLine="0"/>
      <w:spacing w:after="57"/>
    </w:pPr>
  </w:style>
  <w:style w:type="paragraph" w:styleId="830">
    <w:name w:val="toc 2"/>
    <w:basedOn w:val="840"/>
    <w:next w:val="840"/>
    <w:uiPriority w:val="39"/>
    <w:unhideWhenUsed/>
    <w:pPr>
      <w:ind w:left="283" w:right="0" w:firstLine="0"/>
      <w:spacing w:after="57"/>
    </w:pPr>
  </w:style>
  <w:style w:type="paragraph" w:styleId="831">
    <w:name w:val="toc 3"/>
    <w:basedOn w:val="840"/>
    <w:next w:val="840"/>
    <w:uiPriority w:val="39"/>
    <w:unhideWhenUsed/>
    <w:pPr>
      <w:ind w:left="567" w:right="0" w:firstLine="0"/>
      <w:spacing w:after="57"/>
    </w:pPr>
  </w:style>
  <w:style w:type="paragraph" w:styleId="832">
    <w:name w:val="toc 4"/>
    <w:basedOn w:val="840"/>
    <w:next w:val="840"/>
    <w:uiPriority w:val="39"/>
    <w:unhideWhenUsed/>
    <w:pPr>
      <w:ind w:left="850" w:right="0" w:firstLine="0"/>
      <w:spacing w:after="57"/>
    </w:pPr>
  </w:style>
  <w:style w:type="paragraph" w:styleId="833">
    <w:name w:val="toc 5"/>
    <w:basedOn w:val="840"/>
    <w:next w:val="840"/>
    <w:uiPriority w:val="39"/>
    <w:unhideWhenUsed/>
    <w:pPr>
      <w:ind w:left="1134" w:right="0" w:firstLine="0"/>
      <w:spacing w:after="57"/>
    </w:pPr>
  </w:style>
  <w:style w:type="paragraph" w:styleId="834">
    <w:name w:val="toc 6"/>
    <w:basedOn w:val="840"/>
    <w:next w:val="840"/>
    <w:uiPriority w:val="39"/>
    <w:unhideWhenUsed/>
    <w:pPr>
      <w:ind w:left="1417" w:right="0" w:firstLine="0"/>
      <w:spacing w:after="57"/>
    </w:pPr>
  </w:style>
  <w:style w:type="paragraph" w:styleId="835">
    <w:name w:val="toc 7"/>
    <w:basedOn w:val="840"/>
    <w:next w:val="840"/>
    <w:uiPriority w:val="39"/>
    <w:unhideWhenUsed/>
    <w:pPr>
      <w:ind w:left="1701" w:right="0" w:firstLine="0"/>
      <w:spacing w:after="57"/>
    </w:pPr>
  </w:style>
  <w:style w:type="paragraph" w:styleId="836">
    <w:name w:val="toc 8"/>
    <w:basedOn w:val="840"/>
    <w:next w:val="840"/>
    <w:uiPriority w:val="39"/>
    <w:unhideWhenUsed/>
    <w:pPr>
      <w:ind w:left="1984" w:right="0" w:firstLine="0"/>
      <w:spacing w:after="57"/>
    </w:pPr>
  </w:style>
  <w:style w:type="paragraph" w:styleId="837">
    <w:name w:val="toc 9"/>
    <w:basedOn w:val="840"/>
    <w:next w:val="840"/>
    <w:uiPriority w:val="39"/>
    <w:unhideWhenUsed/>
    <w:pPr>
      <w:ind w:left="2268" w:right="0" w:firstLine="0"/>
      <w:spacing w:after="57"/>
    </w:pPr>
  </w:style>
  <w:style w:type="paragraph" w:styleId="838">
    <w:name w:val="TOC Heading"/>
    <w:uiPriority w:val="39"/>
    <w:unhideWhenUsed/>
  </w:style>
  <w:style w:type="paragraph" w:styleId="839">
    <w:name w:val="table of figures"/>
    <w:basedOn w:val="840"/>
    <w:next w:val="840"/>
    <w:uiPriority w:val="99"/>
    <w:unhideWhenUsed/>
    <w:pPr>
      <w:spacing w:after="0" w:afterAutospacing="0"/>
    </w:pPr>
  </w:style>
  <w:style w:type="paragraph" w:styleId="840" w:default="1">
    <w:name w:val="Normal"/>
    <w:next w:val="840"/>
    <w:link w:val="840"/>
    <w:qFormat/>
    <w:rPr>
      <w:lang w:val="ru-RU" w:eastAsia="ru-RU" w:bidi="ar-SA"/>
    </w:rPr>
  </w:style>
  <w:style w:type="character" w:styleId="841">
    <w:name w:val="Основной шрифт абзаца, Знак Знак"/>
    <w:next w:val="841"/>
    <w:link w:val="840"/>
    <w:semiHidden/>
  </w:style>
  <w:style w:type="table" w:styleId="842">
    <w:name w:val="Обычная таблица"/>
    <w:next w:val="842"/>
    <w:link w:val="840"/>
    <w:semiHidden/>
    <w:tblPr/>
  </w:style>
  <w:style w:type="numbering" w:styleId="843">
    <w:name w:val="Нет списка"/>
    <w:next w:val="843"/>
    <w:link w:val="840"/>
    <w:semiHidden/>
  </w:style>
  <w:style w:type="paragraph" w:styleId="844">
    <w:name w:val="UserStyle_0"/>
    <w:basedOn w:val="840"/>
    <w:next w:val="844"/>
    <w:link w:val="840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845">
    <w:name w:val="ConsNormal"/>
    <w:next w:val="845"/>
    <w:link w:val="840"/>
    <w:pPr>
      <w:ind w:firstLine="720"/>
      <w:widowControl w:val="off"/>
    </w:pPr>
    <w:rPr>
      <w:lang w:val="ru-RU" w:eastAsia="ru-RU" w:bidi="ar-SA"/>
    </w:rPr>
  </w:style>
  <w:style w:type="paragraph" w:styleId="846">
    <w:name w:val="ConsTitle"/>
    <w:next w:val="846"/>
    <w:link w:val="840"/>
    <w:pPr>
      <w:widowControl w:val="off"/>
    </w:pPr>
    <w:rPr>
      <w:rFonts w:ascii="Arial" w:hAnsi="Arial" w:cs="Arial"/>
      <w:b/>
      <w:bCs/>
      <w:sz w:val="16"/>
      <w:szCs w:val="16"/>
      <w:lang w:val="ru-RU" w:eastAsia="ru-RU" w:bidi="ar-SA"/>
    </w:rPr>
  </w:style>
  <w:style w:type="paragraph" w:styleId="847">
    <w:name w:val="xl22"/>
    <w:basedOn w:val="840"/>
    <w:next w:val="847"/>
    <w:link w:val="840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Arial" w:hAnsi="Arial" w:cs="Arial"/>
      <w:sz w:val="24"/>
      <w:szCs w:val="24"/>
    </w:rPr>
  </w:style>
  <w:style w:type="paragraph" w:styleId="848">
    <w:name w:val="Основной текст"/>
    <w:basedOn w:val="840"/>
    <w:next w:val="848"/>
    <w:link w:val="849"/>
    <w:pPr>
      <w:spacing w:after="120"/>
    </w:pPr>
    <w:rPr>
      <w:sz w:val="24"/>
    </w:rPr>
  </w:style>
  <w:style w:type="character" w:styleId="849">
    <w:name w:val="Основной текст Знак"/>
    <w:basedOn w:val="841"/>
    <w:next w:val="849"/>
    <w:link w:val="848"/>
    <w:semiHidden/>
    <w:rPr>
      <w:sz w:val="24"/>
      <w:lang w:val="ru-RU" w:eastAsia="ru-RU" w:bidi="ar-SA"/>
    </w:rPr>
  </w:style>
  <w:style w:type="table" w:styleId="850">
    <w:name w:val="Сетка таблицы"/>
    <w:basedOn w:val="842"/>
    <w:next w:val="850"/>
    <w:link w:val="840"/>
    <w:tblPr/>
  </w:style>
  <w:style w:type="character" w:styleId="851" w:default="1">
    <w:name w:val="Default Paragraph Font"/>
    <w:uiPriority w:val="1"/>
    <w:semiHidden/>
    <w:unhideWhenUsed/>
  </w:style>
  <w:style w:type="numbering" w:styleId="852" w:default="1">
    <w:name w:val="No List"/>
    <w:uiPriority w:val="99"/>
    <w:semiHidden/>
    <w:unhideWhenUsed/>
  </w:style>
  <w:style w:type="table" w:styleId="853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12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Zdrav</dc:creator>
  <cp:revision>12</cp:revision>
  <dcterms:created xsi:type="dcterms:W3CDTF">2021-12-27T03:23:00Z</dcterms:created>
  <dcterms:modified xsi:type="dcterms:W3CDTF">2025-05-30T02:48:08Z</dcterms:modified>
  <cp:version>786432</cp:version>
</cp:coreProperties>
</file>