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Российская Федерация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Иркутская область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Муниципальное образование «Тайшетский район»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Тайшетское муниципальное образование</w:t>
      </w:r>
      <w:r>
        <w:rPr>
          <w:b/>
          <w:sz w:val="24"/>
          <w:szCs w:val="24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 «Тайшетское городское поселение»</w:t>
      </w:r>
      <w:r>
        <w:rPr>
          <w:b/>
          <w:sz w:val="24"/>
          <w:szCs w:val="24"/>
        </w:rPr>
      </w:r>
      <w:r/>
    </w:p>
    <w:p>
      <w:pPr>
        <w:pStyle w:val="8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ТАЙШЕТСКОГО ГОРОДСКОГО ПОСЕЛЕНИЯ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 О С Т А Н О В Л Е Н И 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От </w:t>
      </w:r>
      <w:r>
        <w:rPr>
          <w:b w:val="0"/>
          <w:bCs w:val="0"/>
          <w:sz w:val="24"/>
          <w:szCs w:val="24"/>
        </w:rPr>
        <w:t xml:space="preserve">30.05.2025</w:t>
      </w:r>
      <w:r>
        <w:rPr>
          <w:b w:val="0"/>
          <w:bCs w:val="0"/>
          <w:sz w:val="24"/>
          <w:szCs w:val="24"/>
        </w:rPr>
        <w:t xml:space="preserve">г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.</w:t>
        <w:tab/>
        <w:tab/>
        <w:tab/>
        <w:tab/>
        <w:t xml:space="preserve">г.Тайшет</w:t>
        <w:tab/>
        <w:tab/>
        <w:tab/>
        <w:tab/>
        <w:tab/>
        <w:t xml:space="preserve">№</w:t>
      </w:r>
      <w:r>
        <w:rPr>
          <w:b w:val="0"/>
          <w:bCs w:val="0"/>
          <w:sz w:val="24"/>
          <w:szCs w:val="24"/>
        </w:rPr>
        <w:t xml:space="preserve">438</w:t>
      </w:r>
      <w:r>
        <w:rPr>
          <w:b w:val="0"/>
          <w:bCs w:val="0"/>
          <w:sz w:val="24"/>
          <w:szCs w:val="24"/>
        </w:rPr>
      </w:r>
    </w:p>
    <w:p>
      <w:pPr>
        <w:pStyle w:val="84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right="4989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выявл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ении оснований для признания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помещения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расположенного по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ресу: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 Тайшет,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улица </w:t>
      </w:r>
      <w:r>
        <w:rPr>
          <w:b w:val="0"/>
          <w:bCs w:val="0"/>
          <w:sz w:val="24"/>
          <w:szCs w:val="24"/>
        </w:rPr>
        <w:t xml:space="preserve">Академика Павлова, 226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 т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ребованиям, предъявляемым к жилому помещению, и его пригодности для проживания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right="5394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keepNext w:val="0"/>
        <w:spacing w:before="0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outlineLvl w:val="0"/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а ос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новании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заключени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я</w:t>
      </w:r>
      <w:r>
        <w:rPr>
          <w:b w:val="0"/>
          <w:bCs w:val="0"/>
          <w:sz w:val="24"/>
          <w:szCs w:val="24"/>
        </w:rPr>
        <w:t xml:space="preserve"> межведомственной комиссии </w:t>
      </w:r>
      <w:r>
        <w:rPr>
          <w:b w:val="0"/>
          <w:bCs w:val="0"/>
          <w:sz w:val="24"/>
          <w:szCs w:val="24"/>
        </w:rPr>
        <w:t xml:space="preserve">от 07 мая 2025 года №7</w:t>
      </w:r>
      <w:r>
        <w:rPr>
          <w:b w:val="0"/>
          <w:bCs w:val="0"/>
          <w:sz w:val="24"/>
          <w:szCs w:val="24"/>
        </w:rPr>
        <w:t xml:space="preserve"> об оценки соответствия помещения (многоквартирного дома)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требованиям, установленным в Положении о признании помещения жилым помещением, жилого помещения непригодным для проживания, многоквартирного дома аварийным и подлежащим сносу  или рекон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струкции, садового дома жилым домом и жилого дома садовым домом</w:t>
      </w:r>
      <w:r>
        <w:rPr>
          <w:b w:val="0"/>
          <w:bCs w:val="0"/>
          <w:sz w:val="24"/>
          <w:szCs w:val="24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заключени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я</w:t>
      </w:r>
      <w:r>
        <w:rPr>
          <w:b w:val="0"/>
          <w:bCs w:val="0"/>
          <w:sz w:val="24"/>
          <w:szCs w:val="24"/>
        </w:rPr>
        <w:t xml:space="preserve"> специалиста от 03 апреля 2025 №250062 по результатам обследования объекта капитального строительства </w:t>
      </w:r>
      <w:r>
        <w:rPr>
          <w:b w:val="0"/>
          <w:bCs w:val="0"/>
          <w:sz w:val="24"/>
          <w:szCs w:val="24"/>
        </w:rPr>
        <w:t xml:space="preserve">ООО «</w:t>
      </w:r>
      <w:r>
        <w:rPr>
          <w:b w:val="0"/>
          <w:bCs w:val="0"/>
          <w:sz w:val="24"/>
          <w:szCs w:val="24"/>
        </w:rPr>
        <w:t xml:space="preserve">Центр экспертизы, оценки консалтинга</w:t>
      </w:r>
      <w:r>
        <w:rPr>
          <w:b w:val="0"/>
          <w:bCs w:val="0"/>
          <w:sz w:val="24"/>
          <w:szCs w:val="24"/>
        </w:rPr>
        <w:t xml:space="preserve"> «Сампад»,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р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уководствуясь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стать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ей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14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Жилищного кодекса Российской Федерации, По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становлением Правительства Российской Федерации 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 28 января 2006 года № 47 «Об утверждении Положения о признании помещения жилым помещением, жилого помещения не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пригодным для проживания и многоквартирного дома аварийным и подлежащим сносу или реконструкции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 садового дома жилым домом и жилого дома садовым домом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»,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Уставом Тайшетского муниципального образования «Тайшетское городское поселение», администрация Тайшетского городского поселения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p>
      <w:pPr>
        <w:pStyle w:val="845"/>
        <w:ind w:firstLine="0"/>
        <w:jc w:val="both"/>
        <w:widowControl/>
        <w:rPr>
          <w:b w:val="0"/>
          <w:bCs w:val="0"/>
          <w:spacing w:val="-2"/>
          <w:sz w:val="24"/>
          <w:szCs w:val="24"/>
        </w:rPr>
      </w:pP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845"/>
        <w:ind w:firstLine="0"/>
        <w:jc w:val="both"/>
        <w:widowControl/>
        <w:rPr>
          <w:b/>
          <w:spacing w:val="-2"/>
          <w:sz w:val="28"/>
          <w:szCs w:val="28"/>
        </w:rPr>
      </w:pPr>
      <w:r>
        <w:rPr>
          <w:b/>
          <w:spacing w:val="-2"/>
          <w:sz w:val="28"/>
          <w:szCs w:val="28"/>
        </w:rPr>
        <w:t xml:space="preserve">П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О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С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Т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А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Н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О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В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Л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Я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Е Т</w:t>
      </w:r>
      <w:r>
        <w:rPr>
          <w:b/>
          <w:spacing w:val="-2"/>
          <w:sz w:val="28"/>
          <w:szCs w:val="28"/>
        </w:rPr>
        <w:t xml:space="preserve">: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</w:r>
      <w:r>
        <w:rPr>
          <w:b/>
          <w:spacing w:val="-2"/>
          <w:sz w:val="28"/>
          <w:szCs w:val="28"/>
        </w:rPr>
      </w:r>
    </w:p>
    <w:p>
      <w:pPr>
        <w:pStyle w:val="845"/>
        <w:ind w:firstLine="0"/>
        <w:jc w:val="both"/>
        <w:widowControl/>
        <w:rPr>
          <w:b w:val="0"/>
          <w:bCs w:val="0"/>
          <w:spacing w:val="-2"/>
          <w:sz w:val="24"/>
          <w:szCs w:val="24"/>
        </w:rPr>
      </w:pP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840"/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1. </w:t>
      </w:r>
      <w:r>
        <w:rPr>
          <w:b w:val="0"/>
          <w:bCs w:val="0"/>
          <w:sz w:val="24"/>
          <w:szCs w:val="24"/>
        </w:rPr>
        <w:t xml:space="preserve">Признать</w:t>
      </w:r>
      <w:r>
        <w:rPr>
          <w:b w:val="0"/>
          <w:bCs w:val="0"/>
          <w:sz w:val="24"/>
          <w:szCs w:val="24"/>
        </w:rPr>
        <w:t xml:space="preserve"> жило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помещени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общей площадью 98,5 м</w:t>
      </w:r>
      <w:r>
        <w:rPr>
          <w:b w:val="0"/>
          <w:bCs w:val="0"/>
          <w:sz w:val="24"/>
          <w:szCs w:val="24"/>
          <w:vertAlign w:val="superscript"/>
        </w:rPr>
        <w:t xml:space="preserve">2</w:t>
      </w:r>
      <w:r>
        <w:rPr>
          <w:b w:val="0"/>
          <w:bCs w:val="0"/>
          <w:sz w:val="24"/>
          <w:szCs w:val="24"/>
        </w:rPr>
        <w:t xml:space="preserve">, расположенно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по адресу: город Тайшет, </w:t>
      </w:r>
      <w:r>
        <w:rPr>
          <w:b w:val="0"/>
          <w:bCs w:val="0"/>
          <w:sz w:val="24"/>
          <w:szCs w:val="24"/>
        </w:rPr>
        <w:t xml:space="preserve">улица </w:t>
      </w:r>
      <w:r>
        <w:rPr>
          <w:b w:val="0"/>
          <w:bCs w:val="0"/>
          <w:sz w:val="24"/>
          <w:szCs w:val="24"/>
        </w:rPr>
        <w:t xml:space="preserve">Академика Павлова, 226</w:t>
      </w:r>
      <w:r>
        <w:rPr>
          <w:b w:val="0"/>
          <w:bCs w:val="0"/>
          <w:sz w:val="24"/>
          <w:szCs w:val="24"/>
        </w:rPr>
        <w:t xml:space="preserve"> (кадастровый номер 38:29:</w:t>
      </w:r>
      <w:r>
        <w:rPr>
          <w:b w:val="0"/>
          <w:bCs w:val="0"/>
          <w:sz w:val="24"/>
          <w:szCs w:val="24"/>
        </w:rPr>
        <w:t xml:space="preserve">020320:105), соответствующим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требованиям, предъявляемым к жилому помещению, и его пригодности для проживания</w:t>
      </w:r>
      <w:r>
        <w:rPr>
          <w:b w:val="0"/>
          <w:bCs w:val="0"/>
          <w:sz w:val="24"/>
          <w:szCs w:val="24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2.</w:t>
      </w:r>
      <w:r>
        <w:rPr>
          <w:b w:val="0"/>
          <w:bCs w:val="0"/>
          <w:sz w:val="24"/>
          <w:szCs w:val="24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none"/>
        </w:rPr>
        <w:t xml:space="preserve">Отделу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none"/>
        </w:rPr>
        <w:t xml:space="preserve">жилищно коммунального-хозяйства администрации Тайшетского городского поселения (Л.Н. Мамонова) в пятидневный срок со дня принятия настоящего постановления направить по 1-му экземпляру постановления и заключения межведомственной комиссии заявителю, в орган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государственного жилищного и строительного надзора Иркутской области</w:t>
      </w:r>
      <w:r>
        <w:rPr>
          <w:b w:val="0"/>
          <w:bCs w:val="0"/>
          <w:sz w:val="24"/>
          <w:szCs w:val="24"/>
          <w:highlight w:val="none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Глава</w:t>
      </w:r>
      <w:r>
        <w:rPr>
          <w:b w:val="0"/>
          <w:bCs w:val="0"/>
          <w:sz w:val="24"/>
          <w:szCs w:val="24"/>
        </w:rPr>
        <w:t xml:space="preserve"> Тайшетского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городского поселения</w:t>
        <w:tab/>
        <w:tab/>
        <w:tab/>
        <w:tab/>
        <w:tab/>
        <w:tab/>
        <w:tab/>
        <w:tab/>
      </w:r>
      <w:r>
        <w:rPr>
          <w:b w:val="0"/>
          <w:bCs w:val="0"/>
          <w:sz w:val="24"/>
          <w:szCs w:val="24"/>
        </w:rPr>
        <w:t xml:space="preserve">Р.О. Леоненко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Исп.: </w:t>
      </w:r>
      <w:r>
        <w:rPr>
          <w:b w:val="0"/>
          <w:bCs w:val="0"/>
          <w:sz w:val="24"/>
          <w:szCs w:val="24"/>
        </w:rPr>
        <w:t xml:space="preserve">Кобзева В.С.</w:t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т</w:t>
      </w:r>
      <w:r>
        <w:rPr>
          <w:b w:val="0"/>
          <w:bCs w:val="0"/>
          <w:sz w:val="24"/>
          <w:szCs w:val="24"/>
        </w:rPr>
        <w:t xml:space="preserve">ел.</w:t>
      </w:r>
      <w:r>
        <w:rPr>
          <w:b w:val="0"/>
          <w:bCs w:val="0"/>
          <w:sz w:val="24"/>
          <w:szCs w:val="24"/>
        </w:rPr>
        <w:t xml:space="preserve">2</w:t>
      </w:r>
      <w:r>
        <w:rPr>
          <w:b w:val="0"/>
          <w:bCs w:val="0"/>
          <w:sz w:val="24"/>
          <w:szCs w:val="24"/>
        </w:rPr>
        <w:t xml:space="preserve">-04-27</w:t>
      </w:r>
      <w:r>
        <w:rPr>
          <w:b w:val="0"/>
          <w:bCs w:val="0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  <w:tabs>
          <w:tab w:val="num" w:pos="25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  <w:tabs>
          <w:tab w:val="num" w:pos="32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  <w:tabs>
          <w:tab w:val="num" w:pos="39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  <w:tabs>
          <w:tab w:val="num" w:pos="46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  <w:tabs>
          <w:tab w:val="num" w:pos="54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  <w:tabs>
          <w:tab w:val="num" w:pos="6120" w:leader="none"/>
        </w:tabs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35" w:hanging="795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2">
    <w:name w:val="Heading 1"/>
    <w:basedOn w:val="840"/>
    <w:next w:val="840"/>
    <w:link w:val="6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3">
    <w:name w:val="Heading 1 Char"/>
    <w:link w:val="662"/>
    <w:uiPriority w:val="9"/>
    <w:rPr>
      <w:rFonts w:ascii="Arial" w:hAnsi="Arial" w:eastAsia="Arial" w:cs="Arial"/>
      <w:sz w:val="40"/>
      <w:szCs w:val="40"/>
    </w:rPr>
  </w:style>
  <w:style w:type="paragraph" w:styleId="664">
    <w:name w:val="Heading 2"/>
    <w:basedOn w:val="840"/>
    <w:next w:val="840"/>
    <w:link w:val="66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5">
    <w:name w:val="Heading 2 Char"/>
    <w:link w:val="664"/>
    <w:uiPriority w:val="9"/>
    <w:rPr>
      <w:rFonts w:ascii="Arial" w:hAnsi="Arial" w:eastAsia="Arial" w:cs="Arial"/>
      <w:sz w:val="34"/>
    </w:rPr>
  </w:style>
  <w:style w:type="paragraph" w:styleId="666">
    <w:name w:val="Heading 3"/>
    <w:basedOn w:val="840"/>
    <w:next w:val="840"/>
    <w:link w:val="66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7">
    <w:name w:val="Heading 3 Char"/>
    <w:link w:val="666"/>
    <w:uiPriority w:val="9"/>
    <w:rPr>
      <w:rFonts w:ascii="Arial" w:hAnsi="Arial" w:eastAsia="Arial" w:cs="Arial"/>
      <w:sz w:val="30"/>
      <w:szCs w:val="30"/>
    </w:rPr>
  </w:style>
  <w:style w:type="paragraph" w:styleId="668">
    <w:name w:val="Heading 4"/>
    <w:basedOn w:val="840"/>
    <w:next w:val="840"/>
    <w:link w:val="6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9">
    <w:name w:val="Heading 4 Char"/>
    <w:link w:val="668"/>
    <w:uiPriority w:val="9"/>
    <w:rPr>
      <w:rFonts w:ascii="Arial" w:hAnsi="Arial" w:eastAsia="Arial" w:cs="Arial"/>
      <w:b/>
      <w:bCs/>
      <w:sz w:val="26"/>
      <w:szCs w:val="26"/>
    </w:rPr>
  </w:style>
  <w:style w:type="paragraph" w:styleId="670">
    <w:name w:val="Heading 5"/>
    <w:basedOn w:val="840"/>
    <w:next w:val="840"/>
    <w:link w:val="6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1">
    <w:name w:val="Heading 5 Char"/>
    <w:link w:val="670"/>
    <w:uiPriority w:val="9"/>
    <w:rPr>
      <w:rFonts w:ascii="Arial" w:hAnsi="Arial" w:eastAsia="Arial" w:cs="Arial"/>
      <w:b/>
      <w:bCs/>
      <w:sz w:val="24"/>
      <w:szCs w:val="24"/>
    </w:rPr>
  </w:style>
  <w:style w:type="paragraph" w:styleId="672">
    <w:name w:val="Heading 6"/>
    <w:basedOn w:val="840"/>
    <w:next w:val="840"/>
    <w:link w:val="6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3">
    <w:name w:val="Heading 6 Char"/>
    <w:link w:val="672"/>
    <w:uiPriority w:val="9"/>
    <w:rPr>
      <w:rFonts w:ascii="Arial" w:hAnsi="Arial" w:eastAsia="Arial" w:cs="Arial"/>
      <w:b/>
      <w:bCs/>
      <w:sz w:val="22"/>
      <w:szCs w:val="22"/>
    </w:rPr>
  </w:style>
  <w:style w:type="paragraph" w:styleId="674">
    <w:name w:val="Heading 7"/>
    <w:basedOn w:val="840"/>
    <w:next w:val="840"/>
    <w:link w:val="6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7 Char"/>
    <w:link w:val="6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6">
    <w:name w:val="Heading 8"/>
    <w:basedOn w:val="840"/>
    <w:next w:val="840"/>
    <w:link w:val="6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7">
    <w:name w:val="Heading 8 Char"/>
    <w:link w:val="676"/>
    <w:uiPriority w:val="9"/>
    <w:rPr>
      <w:rFonts w:ascii="Arial" w:hAnsi="Arial" w:eastAsia="Arial" w:cs="Arial"/>
      <w:i/>
      <w:iCs/>
      <w:sz w:val="22"/>
      <w:szCs w:val="22"/>
    </w:rPr>
  </w:style>
  <w:style w:type="paragraph" w:styleId="678">
    <w:name w:val="Heading 9"/>
    <w:basedOn w:val="840"/>
    <w:next w:val="840"/>
    <w:link w:val="6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9">
    <w:name w:val="Heading 9 Char"/>
    <w:link w:val="678"/>
    <w:uiPriority w:val="9"/>
    <w:rPr>
      <w:rFonts w:ascii="Arial" w:hAnsi="Arial" w:eastAsia="Arial" w:cs="Arial"/>
      <w:i/>
      <w:iCs/>
      <w:sz w:val="21"/>
      <w:szCs w:val="21"/>
    </w:rPr>
  </w:style>
  <w:style w:type="paragraph" w:styleId="680">
    <w:name w:val="List Paragraph"/>
    <w:basedOn w:val="840"/>
    <w:uiPriority w:val="34"/>
    <w:qFormat/>
    <w:pPr>
      <w:contextualSpacing/>
      <w:ind w:left="720"/>
    </w:pPr>
  </w:style>
  <w:style w:type="paragraph" w:styleId="681">
    <w:name w:val="No Spacing"/>
    <w:uiPriority w:val="1"/>
    <w:qFormat/>
    <w:pPr>
      <w:spacing w:before="0" w:after="0" w:line="240" w:lineRule="auto"/>
    </w:pPr>
  </w:style>
  <w:style w:type="paragraph" w:styleId="682">
    <w:name w:val="Title"/>
    <w:basedOn w:val="840"/>
    <w:next w:val="840"/>
    <w:link w:val="68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3">
    <w:name w:val="Title Char"/>
    <w:link w:val="682"/>
    <w:uiPriority w:val="10"/>
    <w:rPr>
      <w:sz w:val="48"/>
      <w:szCs w:val="48"/>
    </w:rPr>
  </w:style>
  <w:style w:type="paragraph" w:styleId="684">
    <w:name w:val="Subtitle"/>
    <w:basedOn w:val="840"/>
    <w:next w:val="840"/>
    <w:link w:val="685"/>
    <w:uiPriority w:val="11"/>
    <w:qFormat/>
    <w:pPr>
      <w:spacing w:before="200" w:after="200"/>
    </w:pPr>
    <w:rPr>
      <w:sz w:val="24"/>
      <w:szCs w:val="24"/>
    </w:rPr>
  </w:style>
  <w:style w:type="character" w:styleId="685">
    <w:name w:val="Subtitle Char"/>
    <w:link w:val="684"/>
    <w:uiPriority w:val="11"/>
    <w:rPr>
      <w:sz w:val="24"/>
      <w:szCs w:val="24"/>
    </w:rPr>
  </w:style>
  <w:style w:type="paragraph" w:styleId="686">
    <w:name w:val="Quote"/>
    <w:basedOn w:val="840"/>
    <w:next w:val="840"/>
    <w:link w:val="687"/>
    <w:uiPriority w:val="29"/>
    <w:qFormat/>
    <w:pPr>
      <w:ind w:left="720" w:right="720"/>
    </w:pPr>
    <w:rPr>
      <w:i/>
    </w:rPr>
  </w:style>
  <w:style w:type="character" w:styleId="687">
    <w:name w:val="Quote Char"/>
    <w:link w:val="686"/>
    <w:uiPriority w:val="29"/>
    <w:rPr>
      <w:i/>
    </w:rPr>
  </w:style>
  <w:style w:type="paragraph" w:styleId="688">
    <w:name w:val="Intense Quote"/>
    <w:basedOn w:val="840"/>
    <w:next w:val="840"/>
    <w:link w:val="68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9">
    <w:name w:val="Intense Quote Char"/>
    <w:link w:val="688"/>
    <w:uiPriority w:val="30"/>
    <w:rPr>
      <w:i/>
    </w:rPr>
  </w:style>
  <w:style w:type="paragraph" w:styleId="690">
    <w:name w:val="Header"/>
    <w:basedOn w:val="840"/>
    <w:link w:val="69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1">
    <w:name w:val="Header Char"/>
    <w:link w:val="690"/>
    <w:uiPriority w:val="99"/>
  </w:style>
  <w:style w:type="paragraph" w:styleId="692">
    <w:name w:val="Footer"/>
    <w:basedOn w:val="840"/>
    <w:link w:val="69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3">
    <w:name w:val="Footer Char"/>
    <w:link w:val="692"/>
    <w:uiPriority w:val="99"/>
  </w:style>
  <w:style w:type="paragraph" w:styleId="694">
    <w:name w:val="Caption"/>
    <w:basedOn w:val="840"/>
    <w:next w:val="84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5">
    <w:name w:val="Caption Char"/>
    <w:basedOn w:val="694"/>
    <w:link w:val="692"/>
    <w:uiPriority w:val="99"/>
  </w:style>
  <w:style w:type="table" w:styleId="69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2">
    <w:name w:val="Hyperlink"/>
    <w:uiPriority w:val="99"/>
    <w:unhideWhenUsed/>
    <w:rPr>
      <w:color w:val="0000ff" w:themeColor="hyperlink"/>
      <w:u w:val="single"/>
    </w:rPr>
  </w:style>
  <w:style w:type="paragraph" w:styleId="823">
    <w:name w:val="footnote text"/>
    <w:basedOn w:val="840"/>
    <w:link w:val="824"/>
    <w:uiPriority w:val="99"/>
    <w:semiHidden/>
    <w:unhideWhenUsed/>
    <w:pPr>
      <w:spacing w:after="40" w:line="240" w:lineRule="auto"/>
    </w:pPr>
    <w:rPr>
      <w:sz w:val="18"/>
    </w:rPr>
  </w:style>
  <w:style w:type="character" w:styleId="824">
    <w:name w:val="Footnote Text Char"/>
    <w:link w:val="823"/>
    <w:uiPriority w:val="99"/>
    <w:rPr>
      <w:sz w:val="18"/>
    </w:rPr>
  </w:style>
  <w:style w:type="character" w:styleId="825">
    <w:name w:val="footnote reference"/>
    <w:uiPriority w:val="99"/>
    <w:unhideWhenUsed/>
    <w:rPr>
      <w:vertAlign w:val="superscript"/>
    </w:rPr>
  </w:style>
  <w:style w:type="paragraph" w:styleId="826">
    <w:name w:val="endnote text"/>
    <w:basedOn w:val="840"/>
    <w:link w:val="827"/>
    <w:uiPriority w:val="99"/>
    <w:semiHidden/>
    <w:unhideWhenUsed/>
    <w:pPr>
      <w:spacing w:after="0" w:line="240" w:lineRule="auto"/>
    </w:pPr>
    <w:rPr>
      <w:sz w:val="20"/>
    </w:rPr>
  </w:style>
  <w:style w:type="character" w:styleId="827">
    <w:name w:val="Endnote Text Char"/>
    <w:link w:val="826"/>
    <w:uiPriority w:val="99"/>
    <w:rPr>
      <w:sz w:val="20"/>
    </w:rPr>
  </w:style>
  <w:style w:type="character" w:styleId="828">
    <w:name w:val="endnote reference"/>
    <w:uiPriority w:val="99"/>
    <w:semiHidden/>
    <w:unhideWhenUsed/>
    <w:rPr>
      <w:vertAlign w:val="superscript"/>
    </w:rPr>
  </w:style>
  <w:style w:type="paragraph" w:styleId="829">
    <w:name w:val="toc 1"/>
    <w:basedOn w:val="840"/>
    <w:next w:val="840"/>
    <w:uiPriority w:val="39"/>
    <w:unhideWhenUsed/>
    <w:pPr>
      <w:ind w:left="0" w:right="0" w:firstLine="0"/>
      <w:spacing w:after="57"/>
    </w:pPr>
  </w:style>
  <w:style w:type="paragraph" w:styleId="830">
    <w:name w:val="toc 2"/>
    <w:basedOn w:val="840"/>
    <w:next w:val="840"/>
    <w:uiPriority w:val="39"/>
    <w:unhideWhenUsed/>
    <w:pPr>
      <w:ind w:left="283" w:right="0" w:firstLine="0"/>
      <w:spacing w:after="57"/>
    </w:pPr>
  </w:style>
  <w:style w:type="paragraph" w:styleId="831">
    <w:name w:val="toc 3"/>
    <w:basedOn w:val="840"/>
    <w:next w:val="840"/>
    <w:uiPriority w:val="39"/>
    <w:unhideWhenUsed/>
    <w:pPr>
      <w:ind w:left="567" w:right="0" w:firstLine="0"/>
      <w:spacing w:after="57"/>
    </w:pPr>
  </w:style>
  <w:style w:type="paragraph" w:styleId="832">
    <w:name w:val="toc 4"/>
    <w:basedOn w:val="840"/>
    <w:next w:val="840"/>
    <w:uiPriority w:val="39"/>
    <w:unhideWhenUsed/>
    <w:pPr>
      <w:ind w:left="850" w:right="0" w:firstLine="0"/>
      <w:spacing w:after="57"/>
    </w:pPr>
  </w:style>
  <w:style w:type="paragraph" w:styleId="833">
    <w:name w:val="toc 5"/>
    <w:basedOn w:val="840"/>
    <w:next w:val="840"/>
    <w:uiPriority w:val="39"/>
    <w:unhideWhenUsed/>
    <w:pPr>
      <w:ind w:left="1134" w:right="0" w:firstLine="0"/>
      <w:spacing w:after="57"/>
    </w:pPr>
  </w:style>
  <w:style w:type="paragraph" w:styleId="834">
    <w:name w:val="toc 6"/>
    <w:basedOn w:val="840"/>
    <w:next w:val="840"/>
    <w:uiPriority w:val="39"/>
    <w:unhideWhenUsed/>
    <w:pPr>
      <w:ind w:left="1417" w:right="0" w:firstLine="0"/>
      <w:spacing w:after="57"/>
    </w:pPr>
  </w:style>
  <w:style w:type="paragraph" w:styleId="835">
    <w:name w:val="toc 7"/>
    <w:basedOn w:val="840"/>
    <w:next w:val="840"/>
    <w:uiPriority w:val="39"/>
    <w:unhideWhenUsed/>
    <w:pPr>
      <w:ind w:left="1701" w:right="0" w:firstLine="0"/>
      <w:spacing w:after="57"/>
    </w:pPr>
  </w:style>
  <w:style w:type="paragraph" w:styleId="836">
    <w:name w:val="toc 8"/>
    <w:basedOn w:val="840"/>
    <w:next w:val="840"/>
    <w:uiPriority w:val="39"/>
    <w:unhideWhenUsed/>
    <w:pPr>
      <w:ind w:left="1984" w:right="0" w:firstLine="0"/>
      <w:spacing w:after="57"/>
    </w:pPr>
  </w:style>
  <w:style w:type="paragraph" w:styleId="837">
    <w:name w:val="toc 9"/>
    <w:basedOn w:val="840"/>
    <w:next w:val="840"/>
    <w:uiPriority w:val="39"/>
    <w:unhideWhenUsed/>
    <w:pPr>
      <w:ind w:left="2268" w:right="0" w:firstLine="0"/>
      <w:spacing w:after="57"/>
    </w:pPr>
  </w:style>
  <w:style w:type="paragraph" w:styleId="838">
    <w:name w:val="TOC Heading"/>
    <w:uiPriority w:val="39"/>
    <w:unhideWhenUsed/>
  </w:style>
  <w:style w:type="paragraph" w:styleId="839">
    <w:name w:val="table of figures"/>
    <w:basedOn w:val="840"/>
    <w:next w:val="840"/>
    <w:uiPriority w:val="99"/>
    <w:unhideWhenUsed/>
    <w:pPr>
      <w:spacing w:after="0" w:afterAutospacing="0"/>
    </w:pPr>
  </w:style>
  <w:style w:type="paragraph" w:styleId="840" w:default="1">
    <w:name w:val="Normal"/>
    <w:next w:val="840"/>
    <w:link w:val="840"/>
    <w:qFormat/>
    <w:rPr>
      <w:lang w:val="ru-RU" w:eastAsia="ru-RU" w:bidi="ar-SA"/>
    </w:rPr>
  </w:style>
  <w:style w:type="character" w:styleId="841">
    <w:name w:val="Основной шрифт абзаца, Знак Знак"/>
    <w:next w:val="841"/>
    <w:link w:val="840"/>
    <w:semiHidden/>
  </w:style>
  <w:style w:type="table" w:styleId="842">
    <w:name w:val="Обычная таблица"/>
    <w:next w:val="842"/>
    <w:link w:val="840"/>
    <w:semiHidden/>
    <w:tblPr/>
  </w:style>
  <w:style w:type="numbering" w:styleId="843">
    <w:name w:val="Нет списка"/>
    <w:next w:val="843"/>
    <w:link w:val="840"/>
    <w:semiHidden/>
  </w:style>
  <w:style w:type="paragraph" w:styleId="844">
    <w:name w:val="UserStyle_0"/>
    <w:basedOn w:val="840"/>
    <w:next w:val="844"/>
    <w:link w:val="840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845">
    <w:name w:val="ConsNormal"/>
    <w:next w:val="845"/>
    <w:link w:val="840"/>
    <w:pPr>
      <w:ind w:firstLine="720"/>
      <w:widowControl w:val="off"/>
    </w:pPr>
    <w:rPr>
      <w:lang w:val="ru-RU" w:eastAsia="ru-RU" w:bidi="ar-SA"/>
    </w:rPr>
  </w:style>
  <w:style w:type="paragraph" w:styleId="846">
    <w:name w:val="ConsTitle"/>
    <w:next w:val="846"/>
    <w:link w:val="840"/>
    <w:pPr>
      <w:widowControl w:val="off"/>
    </w:pPr>
    <w:rPr>
      <w:rFonts w:ascii="Arial" w:hAnsi="Arial" w:cs="Arial"/>
      <w:b/>
      <w:bCs/>
      <w:sz w:val="16"/>
      <w:szCs w:val="16"/>
      <w:lang w:val="ru-RU" w:eastAsia="ru-RU" w:bidi="ar-SA"/>
    </w:rPr>
  </w:style>
  <w:style w:type="paragraph" w:styleId="847">
    <w:name w:val="xl22"/>
    <w:basedOn w:val="840"/>
    <w:next w:val="847"/>
    <w:link w:val="840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Arial" w:hAnsi="Arial" w:cs="Arial"/>
      <w:sz w:val="24"/>
      <w:szCs w:val="24"/>
    </w:rPr>
  </w:style>
  <w:style w:type="paragraph" w:styleId="848">
    <w:name w:val="Основной текст"/>
    <w:basedOn w:val="840"/>
    <w:next w:val="848"/>
    <w:link w:val="849"/>
    <w:pPr>
      <w:spacing w:after="120"/>
    </w:pPr>
    <w:rPr>
      <w:sz w:val="24"/>
    </w:rPr>
  </w:style>
  <w:style w:type="character" w:styleId="849">
    <w:name w:val="Основной текст Знак"/>
    <w:basedOn w:val="841"/>
    <w:next w:val="849"/>
    <w:link w:val="848"/>
    <w:semiHidden/>
    <w:rPr>
      <w:sz w:val="24"/>
      <w:lang w:val="ru-RU" w:eastAsia="ru-RU" w:bidi="ar-SA"/>
    </w:rPr>
  </w:style>
  <w:style w:type="table" w:styleId="850">
    <w:name w:val="Сетка таблицы"/>
    <w:basedOn w:val="842"/>
    <w:next w:val="850"/>
    <w:link w:val="840"/>
    <w:tblPr/>
  </w:style>
  <w:style w:type="character" w:styleId="851" w:default="1">
    <w:name w:val="Default Paragraph Font"/>
    <w:uiPriority w:val="1"/>
    <w:semiHidden/>
    <w:unhideWhenUsed/>
  </w:style>
  <w:style w:type="numbering" w:styleId="852" w:default="1">
    <w:name w:val="No List"/>
    <w:uiPriority w:val="99"/>
    <w:semiHidden/>
    <w:unhideWhenUsed/>
  </w:style>
  <w:style w:type="table" w:styleId="853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12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Zdrav</dc:creator>
  <cp:revision>17</cp:revision>
  <dcterms:created xsi:type="dcterms:W3CDTF">2021-12-27T03:23:00Z</dcterms:created>
  <dcterms:modified xsi:type="dcterms:W3CDTF">2025-05-30T03:02:30Z</dcterms:modified>
  <cp:version>786432</cp:version>
</cp:coreProperties>
</file>