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Иркутская область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«Тайшетский район»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4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Тайшетское муниципальное образование 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  <w:t xml:space="preserve">«Тайшетское городское поселение»</w:t>
      </w:r>
      <w:r>
        <w:rPr>
          <w:b/>
          <w:sz w:val="24"/>
          <w:szCs w:val="24"/>
          <w:highlight w:val="none"/>
        </w:rPr>
      </w:r>
    </w:p>
    <w:p>
      <w:pPr>
        <w:pStyle w:val="8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</w:t>
      </w:r>
      <w:r>
        <w:rPr>
          <w:b/>
          <w:sz w:val="28"/>
          <w:szCs w:val="28"/>
        </w:rPr>
        <w:t xml:space="preserve"> ТАЙШЕТСКОГО ГОРОДСКОГО ПОСЕЛЕНИЯ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7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02.06.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г.</w:t>
        <w:tab/>
        <w:tab/>
        <w:tab/>
        <w:tab/>
        <w:t xml:space="preserve">г.Тайшет </w:t>
        <w:tab/>
        <w:tab/>
        <w:tab/>
        <w:tab/>
        <w:tab/>
        <w:t xml:space="preserve">№</w:t>
      </w:r>
      <w:r>
        <w:rPr>
          <w:sz w:val="24"/>
          <w:szCs w:val="24"/>
        </w:rPr>
        <w:t xml:space="preserve">445</w:t>
      </w:r>
      <w:r>
        <w:rPr>
          <w:sz w:val="24"/>
          <w:szCs w:val="24"/>
        </w:rPr>
      </w:r>
    </w:p>
    <w:p>
      <w:pPr>
        <w:ind w:right="498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4"/>
        <w:ind w:right="4989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 награждении Почетной грамотой и Благодарственным письмом</w:t>
      </w:r>
      <w:r>
        <w:rPr>
          <w:sz w:val="24"/>
          <w:szCs w:val="24"/>
        </w:rPr>
        <w:t xml:space="preserve"> главы Тайшетского городского пос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ления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8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Рассмотрев ходатайство Комаровой С.Г., начальника Межрайонного управления министерства социального развития, опеки и попечительства Иркутской области №6 </w:t>
      </w:r>
      <w:r>
        <w:rPr>
          <w:sz w:val="24"/>
          <w:szCs w:val="24"/>
        </w:rPr>
        <w:t xml:space="preserve">о награждении Почетной грамотой главы Тайшетского городского поселения: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Галкиной Дианы Юрьевны, заместителя начальника управления - начальника отдела опеки и попечительства граждан по Тайшетскому району Межрайонного управления министерства социального развития, опеки и попечительства Иркутской области №6;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Таланцевой Евгении Васильевны, консультанта отдела опеки и попечительства граждан по Тайшетскому</w:t>
      </w:r>
      <w:r>
        <w:rPr>
          <w:sz w:val="24"/>
          <w:szCs w:val="24"/>
        </w:rPr>
        <w:t xml:space="preserve"> району Межрайонного управления </w:t>
      </w:r>
      <w:r>
        <w:rPr>
          <w:sz w:val="24"/>
          <w:szCs w:val="24"/>
        </w:rPr>
        <w:t xml:space="preserve">министерства социального развития, опеки  и попечительства  Иркутской области</w:t>
      </w:r>
      <w:r>
        <w:rPr>
          <w:sz w:val="24"/>
          <w:szCs w:val="24"/>
        </w:rPr>
        <w:t xml:space="preserve"> №6;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 поощрении Благодарственным письмом главы Тайшетского городского поселения: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Мациевской Александры Григорьевны, </w:t>
      </w:r>
      <w:r>
        <w:rPr>
          <w:sz w:val="24"/>
          <w:szCs w:val="24"/>
        </w:rPr>
        <w:t xml:space="preserve">консультанта отдела опеки и попечительства граждан по Тайшетскому</w:t>
      </w:r>
      <w:r>
        <w:rPr>
          <w:sz w:val="24"/>
          <w:szCs w:val="24"/>
        </w:rPr>
        <w:t xml:space="preserve"> району</w:t>
      </w:r>
      <w:r>
        <w:rPr>
          <w:sz w:val="24"/>
          <w:szCs w:val="24"/>
        </w:rPr>
        <w:t xml:space="preserve"> Межрайонного управления министерства социального развития, опеки и попечительства Иркутской области №6;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Юровой Людмилы Викторовны, специалиста по социальной работе ОГБУСО «Региональный семейный многофункциональный центр»,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добросовестный труд, большой вклад в решение вопросов опеки и попечительства гражда</w:t>
      </w:r>
      <w:r>
        <w:rPr>
          <w:sz w:val="24"/>
          <w:szCs w:val="24"/>
        </w:rPr>
        <w:t xml:space="preserve">н на территории города Тайшета </w:t>
      </w:r>
      <w:r>
        <w:rPr>
          <w:sz w:val="24"/>
          <w:szCs w:val="24"/>
        </w:rPr>
        <w:t xml:space="preserve">и в связи с профессиональным праздником – Днем социального работника, </w:t>
      </w:r>
      <w:r>
        <w:rPr>
          <w:sz w:val="24"/>
          <w:szCs w:val="24"/>
        </w:rPr>
        <w:t xml:space="preserve">руководствуясь Уставом Тайшетского муниципального 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разования «Тайшетское городское поселение», </w:t>
      </w:r>
      <w:r>
        <w:rPr>
          <w:sz w:val="24"/>
          <w:szCs w:val="24"/>
        </w:rPr>
        <w:t xml:space="preserve">решением Думы Тайшетского городского поселения о</w:t>
      </w:r>
      <w:r>
        <w:rPr>
          <w:sz w:val="24"/>
          <w:szCs w:val="24"/>
        </w:rPr>
        <w:t xml:space="preserve">т 05</w:t>
      </w:r>
      <w:r>
        <w:rPr>
          <w:sz w:val="24"/>
          <w:szCs w:val="24"/>
        </w:rPr>
        <w:t xml:space="preserve"> декабря 2024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125 «О бюджете Тайшетского муниципального образования «Тайшетское  городское поселение на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 год и на плановый период 202</w:t>
      </w:r>
      <w:r>
        <w:rPr>
          <w:sz w:val="24"/>
          <w:szCs w:val="24"/>
        </w:rPr>
        <w:t xml:space="preserve">6 и 202</w:t>
      </w:r>
      <w:r>
        <w:rPr>
          <w:sz w:val="24"/>
          <w:szCs w:val="24"/>
        </w:rPr>
        <w:t xml:space="preserve">7 годов</w:t>
      </w:r>
      <w:r>
        <w:rPr>
          <w:sz w:val="24"/>
          <w:szCs w:val="24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Положением «О Почетной грамоте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Тайшетского муниципального образования «Тайшетское городское поселение», </w:t>
      </w:r>
      <w:r>
        <w:rPr>
          <w:sz w:val="24"/>
          <w:szCs w:val="24"/>
        </w:rPr>
        <w:t xml:space="preserve">Положением «О Благодарственном письме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Тайшетского муниципального образования «Тайшетское городское поселение», утвержденным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постановлением главы Тайшетского городского поселения от 30 июня 2006 года № 946 «О поощрениях главы Тайшетского муниципального образования «Тайшетское городское поселение»,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rPr>
          <w:b/>
          <w:sz w:val="28"/>
        </w:rPr>
      </w:pPr>
      <w:r>
        <w:rPr>
          <w:b/>
          <w:sz w:val="28"/>
        </w:rPr>
        <w:t xml:space="preserve">П О С Т А Н О В Л Я Ю: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4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1. Наградить Почетной грамотой главы Тайшетского городского поселени</w:t>
      </w:r>
      <w:r>
        <w:rPr>
          <w:sz w:val="24"/>
          <w:szCs w:val="24"/>
        </w:rPr>
        <w:t xml:space="preserve">я: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Галкину Диану Юрьевну, заместителя начальника управления- начальника отдела опеки и попечительства граждан по Тайшетскому району Межрайонного управления министерства социального развития, опеки и попечительства Иркутской области №6;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Таланцеву Евгению Васильевну, консультанта отдела опеки и попечительства граждан по Тайшетскому</w:t>
      </w:r>
      <w:r>
        <w:rPr>
          <w:sz w:val="24"/>
          <w:szCs w:val="24"/>
        </w:rPr>
        <w:t xml:space="preserve"> району Межрайонного управления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министерства социального развития, опеки  и попечительства  Иркутской области</w:t>
      </w:r>
      <w:r>
        <w:rPr>
          <w:sz w:val="24"/>
          <w:szCs w:val="24"/>
        </w:rPr>
        <w:t xml:space="preserve"> №6.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left="0"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Поощрить Благодарственным письмом главы Та</w:t>
      </w:r>
      <w:r>
        <w:rPr>
          <w:sz w:val="24"/>
          <w:szCs w:val="24"/>
        </w:rPr>
        <w:t xml:space="preserve">йшетского городского поселения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4"/>
        <w:ind w:left="0"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Мациевскую Александру Григорьевну, </w:t>
      </w:r>
      <w:r>
        <w:rPr>
          <w:sz w:val="24"/>
          <w:szCs w:val="24"/>
        </w:rPr>
        <w:t xml:space="preserve">консультанта отдела опеки и попечительства граждан по Тайшетскому</w:t>
      </w:r>
      <w:r>
        <w:rPr>
          <w:sz w:val="24"/>
          <w:szCs w:val="24"/>
        </w:rPr>
        <w:t xml:space="preserve"> району </w:t>
      </w:r>
      <w:r>
        <w:rPr>
          <w:sz w:val="24"/>
          <w:szCs w:val="24"/>
        </w:rPr>
        <w:t xml:space="preserve"> Межрайонного управления министерства социального развития, опеки и попечительства Иркутской области №6;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Юрову Людмилу Викторовну, специалиста по социальной работе ОГБУСО «Региональный семейный многофункциональный центр».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left="0" w:firstLine="720"/>
        <w:jc w:val="both"/>
        <w:spacing w:line="269" w:lineRule="exact"/>
        <w:shd w:val="clear" w:color="auto" w:fill="ffffff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Отделу исполнения сметы расходов</w:t>
      </w:r>
      <w:r>
        <w:rPr>
          <w:sz w:val="24"/>
          <w:szCs w:val="24"/>
        </w:rPr>
        <w:t xml:space="preserve"> администрации Тайшетского городского поселения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Ха</w:t>
      </w:r>
      <w:r>
        <w:rPr>
          <w:sz w:val="24"/>
          <w:szCs w:val="24"/>
        </w:rPr>
        <w:t xml:space="preserve">ткевич О.Н.) </w:t>
      </w:r>
      <w:r>
        <w:rPr>
          <w:sz w:val="24"/>
          <w:szCs w:val="24"/>
        </w:rPr>
        <w:t xml:space="preserve">выплат</w:t>
      </w:r>
      <w:r>
        <w:rPr>
          <w:sz w:val="24"/>
          <w:szCs w:val="24"/>
        </w:rPr>
        <w:t xml:space="preserve">ить денежную преми</w:t>
      </w:r>
      <w:r>
        <w:rPr>
          <w:sz w:val="24"/>
          <w:szCs w:val="24"/>
        </w:rPr>
        <w:t xml:space="preserve">ю, награжденным Почетной грамотой главы Тайшетского городского поселения в размере 1724 рублей каждому, за счет средств бюджета Тайшетского городского поселения, заложенных по смете администрации Тайшетского городского поселения на проведение мероприятий.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720"/>
        <w:jc w:val="both"/>
        <w:spacing w:line="269" w:lineRule="exact"/>
        <w:shd w:val="clear" w:color="auto" w:fill="ffffff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4. Начальнику отдела по организационной работе, контролю и делопроизводству администрации Тайшетского городского поселения Бычковой В.Д. опубликовать настоящее постановление в официальных средствах массовой информации.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0"/>
        <w:jc w:val="both"/>
        <w:spacing w:line="269" w:lineRule="exact"/>
        <w:shd w:val="clear" w:color="auto" w:fill="ffffff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0"/>
        <w:jc w:val="both"/>
        <w:spacing w:line="269" w:lineRule="exact"/>
        <w:shd w:val="clear" w:color="auto" w:fill="ffffff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sz w:val="24"/>
          <w:szCs w:val="24"/>
        </w:rPr>
        <w:tab/>
        <w:tab/>
        <w:t xml:space="preserve"> Р.О.Леоненко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4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Исп.: Горегляд Д.</w:t>
      </w:r>
      <w:r>
        <w:rPr>
          <w:sz w:val="24"/>
          <w:szCs w:val="24"/>
        </w:rPr>
        <w:t xml:space="preserve">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4"/>
        <w:rPr>
          <w:sz w:val="24"/>
          <w:szCs w:val="24"/>
        </w:rPr>
      </w:pPr>
      <w:r>
        <w:rPr>
          <w:sz w:val="24"/>
          <w:szCs w:val="24"/>
        </w:rPr>
        <w:t xml:space="preserve">тел. 2-01-71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rap="around" w:vAnchor="text" w:hAnchor="margin" w:xAlign="right" w:y="1"/>
    </w:pPr>
    <w:r>
      <w:rPr>
        <w:rStyle w:val="879"/>
      </w:rPr>
    </w:r>
    <w:r>
      <w:rPr>
        <w:rStyle w:val="879"/>
      </w:rPr>
    </w:r>
    <w:r>
      <w:rPr>
        <w:rStyle w:val="879"/>
      </w:rPr>
    </w:r>
  </w:p>
  <w:p>
    <w:pPr>
      <w:pStyle w:val="87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9"/>
      </w:rPr>
      <w:framePr w:wrap="around" w:vAnchor="text" w:hAnchor="margin" w:xAlign="right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8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sz w:val="22"/>
      <w:lang w:val="ru-RU" w:eastAsia="ru-RU" w:bidi="ar-SA"/>
    </w:rPr>
  </w:style>
  <w:style w:type="character" w:styleId="875">
    <w:name w:val="Основной шрифт абзаца"/>
    <w:next w:val="875"/>
    <w:link w:val="874"/>
    <w:semiHidden/>
  </w:style>
  <w:style w:type="table" w:styleId="876">
    <w:name w:val="Обычная таблица"/>
    <w:next w:val="876"/>
    <w:link w:val="874"/>
    <w:semiHidden/>
    <w:tblPr/>
  </w:style>
  <w:style w:type="numbering" w:styleId="877">
    <w:name w:val="Нет списка"/>
    <w:next w:val="877"/>
    <w:link w:val="874"/>
    <w:semiHidden/>
  </w:style>
  <w:style w:type="paragraph" w:styleId="878">
    <w:name w:val="Верхний колонтитул"/>
    <w:basedOn w:val="874"/>
    <w:next w:val="878"/>
    <w:link w:val="874"/>
    <w:pPr>
      <w:tabs>
        <w:tab w:val="center" w:pos="4677" w:leader="none"/>
        <w:tab w:val="right" w:pos="9355" w:leader="none"/>
      </w:tabs>
    </w:pPr>
  </w:style>
  <w:style w:type="character" w:styleId="879">
    <w:name w:val="Номер страницы"/>
    <w:basedOn w:val="875"/>
    <w:next w:val="879"/>
    <w:link w:val="874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12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Zdrav</dc:creator>
  <cp:revision>30</cp:revision>
  <dcterms:created xsi:type="dcterms:W3CDTF">2016-06-06T03:40:00Z</dcterms:created>
  <dcterms:modified xsi:type="dcterms:W3CDTF">2025-06-02T06:36:49Z</dcterms:modified>
  <cp:version>917504</cp:version>
</cp:coreProperties>
</file>