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Иркутская область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«Тайшетский район»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Тайшетское муниципальное образование </w:t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«Тайшетское городское поселение»</w:t>
      </w:r>
      <w:r>
        <w:rPr>
          <w:b/>
          <w:sz w:val="24"/>
          <w:szCs w:val="24"/>
        </w:rPr>
      </w:r>
      <w:r/>
    </w:p>
    <w:p>
      <w:pPr>
        <w:pStyle w:val="8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ТАЙШЕТСКОГО ГОРОДСКОГО ПОСЕЛЕНИЯ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7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 О С Т А Н О В Л Е Н И 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04.09.2025 г.</w:t>
        <w:tab/>
        <w:tab/>
        <w:tab/>
        <w:tab/>
        <w:t xml:space="preserve">г.Тайшет </w:t>
        <w:tab/>
        <w:tab/>
        <w:tab/>
        <w:tab/>
        <w:tab/>
        <w:t xml:space="preserve">№</w:t>
      </w:r>
      <w:r>
        <w:rPr>
          <w:sz w:val="24"/>
          <w:szCs w:val="24"/>
        </w:rPr>
        <w:t xml:space="preserve">790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right="498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 награждении Почетной грамотой</w:t>
      </w:r>
      <w:r>
        <w:rPr>
          <w:sz w:val="24"/>
          <w:szCs w:val="24"/>
        </w:rPr>
        <w:t xml:space="preserve"> и Благодарственным письмом г</w:t>
      </w:r>
      <w:r>
        <w:rPr>
          <w:sz w:val="24"/>
          <w:szCs w:val="24"/>
        </w:rPr>
        <w:t xml:space="preserve">лавы Тайшетского городского поселения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Рассмотрев ходатайство </w:t>
      </w:r>
      <w:r>
        <w:rPr>
          <w:sz w:val="24"/>
          <w:szCs w:val="24"/>
        </w:rPr>
        <w:t xml:space="preserve">Истомина П.Г.,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начальника 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 </w:t>
      </w:r>
      <w:r>
        <w:rPr>
          <w:sz w:val="24"/>
          <w:szCs w:val="24"/>
        </w:rPr>
        <w:t xml:space="preserve">о награждении Почетной грамотой главы Тайшетского городского поселения: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Гришина Александра Павловича, электромеханика бригады по техническому сопровождению строительных объектов (I группа)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Каверзина Ивана Леонидовича, электромеханика бригады по обслуживанию устройств сигнализации, централизации и блокировки Тайшет-Тагул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дороги»,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0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о поощрении Благодарственным письмом главы Тайшетского городского поселения: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Гусева Юрия Валерьевича, старшего электромеханика бригады по обслуживанию устройств сигнализации , централизации  и блокировки Тайшет-Байроновка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Цимерман Алексея Николаевича, старшего электромеханика бригады по замедлителям и пневмопочте Тайшет (четная горка) 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</w:p>
    <w:p>
      <w:pPr>
        <w:pStyle w:val="870"/>
        <w:ind w:left="0" w:right="0"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добросовестный труд на железнодорожном транспорте, образцовое выполнение служебных обязанностей, проявленную инициативу при выполнении производственных заданий и в связи с празднованием </w:t>
      </w:r>
      <w:r>
        <w:rPr>
          <w:sz w:val="24"/>
          <w:szCs w:val="24"/>
        </w:rPr>
        <w:t xml:space="preserve">60-летия со дня образования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руководствуясь Уставом Тайшетского муниципального образования «Тайшетское городское поселение», решением Думы Тайшет</w:t>
      </w:r>
      <w:r>
        <w:rPr>
          <w:sz w:val="24"/>
          <w:szCs w:val="24"/>
        </w:rPr>
        <w:t xml:space="preserve">ского городского поселения от </w:t>
      </w:r>
      <w:r>
        <w:rPr>
          <w:sz w:val="24"/>
          <w:szCs w:val="24"/>
        </w:rPr>
        <w:t xml:space="preserve">05 декабря </w:t>
      </w:r>
      <w:r>
        <w:rPr>
          <w:sz w:val="24"/>
          <w:szCs w:val="24"/>
        </w:rPr>
        <w:t xml:space="preserve">2024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125 «О бюджете Тайшетского муниципального образования «Тайшетское городское поселение» на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 год и на плановый период 202</w:t>
      </w:r>
      <w:r>
        <w:rPr>
          <w:sz w:val="24"/>
          <w:szCs w:val="24"/>
        </w:rPr>
        <w:t xml:space="preserve">6 и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7 годов», Положением</w:t>
      </w:r>
      <w:r>
        <w:rPr>
          <w:sz w:val="24"/>
          <w:szCs w:val="24"/>
        </w:rPr>
        <w:t xml:space="preserve"> «О Почетной грамоте главы Тайшетского муниципального образования «Тайшетское городское поселение</w:t>
      </w:r>
      <w:r>
        <w:rPr>
          <w:sz w:val="24"/>
          <w:szCs w:val="24"/>
        </w:rPr>
        <w:t xml:space="preserve">»»,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Положением «О Благодарственном письме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Тайшетского муниципального образования «Тайшетское городское поселение»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утвержденными постановлением главы Тайшетского городского поселения от 30 июня 2006 года №946 «О поощрениях главы Тайшетского муниципального образования «Тайшетское городское поселение»,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 О С Т А Н О В Л Я Ю :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0"/>
        <w:ind w:firstLine="0"/>
        <w:jc w:val="both"/>
        <w:spacing w:line="240" w:lineRule="auto"/>
        <w:rPr>
          <w:b w:val="0"/>
          <w:bCs w:val="0"/>
          <w:sz w:val="24"/>
          <w:szCs w:val="24"/>
        </w:rPr>
        <w:suppressLineNumbers w:val="0"/>
      </w:pPr>
      <w:r>
        <w:rPr>
          <w:b w:val="0"/>
          <w:bCs w:val="0"/>
          <w:sz w:val="24"/>
          <w:szCs w:val="24"/>
        </w:rPr>
      </w:r>
      <w:r>
        <w:rPr>
          <w:b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70"/>
        <w:ind w:firstLine="72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1. Наградить Почетной грамотой главы Тайшетского городского поселения: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Гришина Александра Павловича, электромеханика бригады по техническому сопровождению строительных объектов (I группа)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40" w:lineRule="auto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Каверзина Ивана Леонидовича, электромеханика бригады по обслуживанию устройств сигнализации, централизации и блокировки Тайшет-Тагул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0"/>
        <w:ind w:left="29" w:firstLine="720"/>
        <w:jc w:val="both"/>
        <w:spacing w:line="240" w:lineRule="auto"/>
        <w:shd w:val="clear" w:color="auto" w:fill="ffff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2. Поощрить Благодарственным письмом главы Тайшетского городского поселения: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2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Гусева Юрия Валерьевича, старшего электромеханика бригады по обслуживанию устройств сигнализации , централизации  и блокировки Тайшет-Байроновка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2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Цимерман Алексея Николаевича, старшего электромеханика бригады по замедлителям и пневмопочте Тайшет (четная горка)  </w:t>
      </w:r>
      <w:r>
        <w:rPr>
          <w:sz w:val="24"/>
          <w:szCs w:val="24"/>
        </w:rPr>
        <w:t xml:space="preserve">Тайшетской дистанции сигнализации, централизации и блокировки Восточно-Сибирской дирекции инфраструктуры Центральной дирекции инфраструктуры ОАО «Российские железные дороги».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left="29" w:firstLine="720"/>
        <w:jc w:val="both"/>
        <w:spacing w:line="240" w:lineRule="auto"/>
        <w:shd w:val="clear" w:color="auto" w:fill="ffff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Начальнику о</w:t>
      </w:r>
      <w:r>
        <w:rPr>
          <w:sz w:val="24"/>
          <w:szCs w:val="24"/>
        </w:rPr>
        <w:t xml:space="preserve">тдел</w:t>
      </w:r>
      <w:r>
        <w:rPr>
          <w:sz w:val="24"/>
          <w:szCs w:val="24"/>
        </w:rPr>
        <w:t xml:space="preserve">а исполнения сметы расходов администрации Тайшетского городского поселения </w:t>
      </w:r>
      <w:r>
        <w:rPr>
          <w:sz w:val="24"/>
          <w:szCs w:val="24"/>
        </w:rPr>
        <w:t xml:space="preserve">Хаткевич О.Н.</w:t>
      </w:r>
      <w:r>
        <w:rPr>
          <w:sz w:val="24"/>
          <w:szCs w:val="24"/>
        </w:rPr>
        <w:t xml:space="preserve"> выплатить денежную премию</w:t>
      </w:r>
      <w:r>
        <w:rPr>
          <w:sz w:val="24"/>
          <w:szCs w:val="24"/>
        </w:rPr>
        <w:t xml:space="preserve"> награжденн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Почетной грамотой главы Тайшетского городског</w:t>
      </w:r>
      <w:r>
        <w:rPr>
          <w:sz w:val="24"/>
          <w:szCs w:val="24"/>
        </w:rPr>
        <w:t xml:space="preserve">о поселения в размере 1724 рублей</w:t>
      </w:r>
      <w:r>
        <w:rPr>
          <w:sz w:val="24"/>
          <w:szCs w:val="24"/>
        </w:rPr>
        <w:t xml:space="preserve"> каждому</w:t>
      </w:r>
      <w:r>
        <w:rPr>
          <w:sz w:val="24"/>
          <w:szCs w:val="24"/>
        </w:rPr>
        <w:t xml:space="preserve">, за счет средств бюджета Тайшетского городского поселения, заложенных по смете администрации Тайшетского городского поселения на проведение мероприятий.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0"/>
        <w:ind w:left="29" w:firstLine="720"/>
        <w:jc w:val="both"/>
        <w:spacing w:line="240" w:lineRule="auto"/>
        <w:shd w:val="clear" w:color="auto" w:fill="ffffff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Начальнику отдела по организационной работе, контролю и делопроизводству администрации Тайшетского городского поселения Бычковой В.Д. опубликовать настоящее постановление в официальных средствах массовой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left"/>
        <w:spacing w:line="240" w:lineRule="auto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left"/>
        <w:spacing w:line="240" w:lineRule="auto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0"/>
        <w:jc w:val="left"/>
        <w:spacing w:line="240" w:lineRule="auto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0"/>
        <w:contextualSpacing w:val="0"/>
        <w:ind w:left="5669" w:firstLine="709"/>
        <w:jc w:val="left"/>
        <w:spacing w:line="240" w:lineRule="auto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 Р.О. Леоненко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Исп.: </w:t>
      </w:r>
      <w:r>
        <w:rPr>
          <w:sz w:val="24"/>
          <w:szCs w:val="24"/>
        </w:rPr>
        <w:t xml:space="preserve">Горегляд Д.Л.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0"/>
        <w:jc w:val="both"/>
        <w:spacing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тел.:</w:t>
      </w:r>
      <w:r>
        <w:rPr>
          <w:sz w:val="24"/>
          <w:szCs w:val="24"/>
        </w:rPr>
        <w:t xml:space="preserve"> 2-01-71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5"/>
      </w:rPr>
      <w:framePr w:wrap="around" w:vAnchor="text" w:hAnchor="margin" w:xAlign="right" w:y="1"/>
    </w:pPr>
    <w:r>
      <w:rPr>
        <w:rStyle w:val="875"/>
      </w:rPr>
    </w:r>
    <w:r>
      <w:rPr>
        <w:rStyle w:val="875"/>
      </w:rPr>
    </w:r>
    <w:r>
      <w:rPr>
        <w:rStyle w:val="875"/>
      </w:rPr>
    </w:r>
  </w:p>
  <w:p>
    <w:pPr>
      <w:pStyle w:val="874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5"/>
      </w:rPr>
      <w:framePr w:wrap="around" w:vAnchor="text" w:hAnchor="margin" w:xAlign="right" w:y="1"/>
    </w:pPr>
    <w:r>
      <w:rPr>
        <w:rStyle w:val="875"/>
      </w:rPr>
      <w:fldChar w:fldCharType="begin"/>
    </w:r>
    <w:r>
      <w:rPr>
        <w:rStyle w:val="875"/>
      </w:rPr>
      <w:instrText xml:space="preserve">PAGE  </w:instrText>
    </w:r>
    <w:r>
      <w:rPr>
        <w:rStyle w:val="875"/>
      </w:rPr>
      <w:fldChar w:fldCharType="end"/>
    </w:r>
    <w:r>
      <w:rPr>
        <w:rStyle w:val="875"/>
      </w:rPr>
    </w:r>
    <w:r>
      <w:rPr>
        <w:rStyle w:val="875"/>
      </w:rPr>
    </w:r>
  </w:p>
  <w:p>
    <w:pPr>
      <w:pStyle w:val="874"/>
      <w:ind w:right="3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2"/>
      <w:lang w:val="ru-RU" w:eastAsia="ru-RU" w:bidi="ar-SA"/>
    </w:rPr>
  </w:style>
  <w:style w:type="character" w:styleId="871">
    <w:name w:val="Основной шрифт абзаца"/>
    <w:next w:val="871"/>
    <w:link w:val="870"/>
    <w:semiHidden/>
  </w:style>
  <w:style w:type="table" w:styleId="872">
    <w:name w:val="Обычная таблица"/>
    <w:next w:val="872"/>
    <w:link w:val="870"/>
    <w:semiHidden/>
    <w:tblPr/>
  </w:style>
  <w:style w:type="numbering" w:styleId="873">
    <w:name w:val="Нет списка"/>
    <w:next w:val="873"/>
    <w:link w:val="870"/>
    <w:semiHidden/>
  </w:style>
  <w:style w:type="paragraph" w:styleId="874">
    <w:name w:val="Верхний колонтитул"/>
    <w:basedOn w:val="870"/>
    <w:next w:val="874"/>
    <w:link w:val="870"/>
    <w:pPr>
      <w:tabs>
        <w:tab w:val="center" w:pos="4677" w:leader="none"/>
        <w:tab w:val="right" w:pos="9355" w:leader="none"/>
      </w:tabs>
    </w:pPr>
  </w:style>
  <w:style w:type="character" w:styleId="875">
    <w:name w:val="Номер страницы"/>
    <w:basedOn w:val="871"/>
    <w:next w:val="875"/>
    <w:link w:val="870"/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revision>10</cp:revision>
  <dcterms:created xsi:type="dcterms:W3CDTF">2024-07-25T10:24:00Z</dcterms:created>
  <dcterms:modified xsi:type="dcterms:W3CDTF">2025-09-30T03:05:47Z</dcterms:modified>
  <cp:version>917504</cp:version>
</cp:coreProperties>
</file>