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21"/>
        <w:jc w:val="center"/>
        <w:rPr>
          <w:b/>
        </w:rPr>
      </w:pPr>
      <w:r>
        <w:rPr>
          <w:b/>
        </w:rPr>
        <w:t xml:space="preserve">Российская Федерация</w:t>
      </w:r>
      <w:r>
        <w:rPr>
          <w:b/>
        </w:rPr>
      </w:r>
    </w:p>
    <w:p>
      <w:pPr>
        <w:pStyle w:val="621"/>
        <w:jc w:val="center"/>
        <w:rPr>
          <w:b/>
        </w:rPr>
      </w:pPr>
      <w:r>
        <w:rPr>
          <w:b/>
        </w:rPr>
        <w:t xml:space="preserve">Иркутская область</w:t>
      </w:r>
      <w:r>
        <w:rPr>
          <w:b/>
        </w:rPr>
      </w:r>
    </w:p>
    <w:p>
      <w:pPr>
        <w:pStyle w:val="621"/>
        <w:jc w:val="center"/>
        <w:rPr>
          <w:b/>
        </w:rPr>
      </w:pPr>
      <w:r>
        <w:rPr>
          <w:b/>
        </w:rPr>
        <w:t xml:space="preserve">Муниципальное образование «Тайшетский район»</w:t>
      </w:r>
      <w:r>
        <w:rPr>
          <w:b/>
        </w:rPr>
      </w:r>
    </w:p>
    <w:p>
      <w:pPr>
        <w:pStyle w:val="621"/>
        <w:jc w:val="center"/>
        <w:rPr>
          <w:b/>
          <w:bCs/>
        </w:rPr>
      </w:pPr>
      <w:r>
        <w:rPr>
          <w:b/>
        </w:rPr>
        <w:t xml:space="preserve">Тайшетское муниципальное образование</w:t>
      </w:r>
      <w:r>
        <w:rPr>
          <w:b/>
        </w:rPr>
      </w:r>
    </w:p>
    <w:p>
      <w:pPr>
        <w:jc w:val="center"/>
        <w:rPr>
          <w:b/>
          <w:bCs/>
        </w:rPr>
      </w:pPr>
      <w:r>
        <w:rPr>
          <w:b/>
        </w:rPr>
        <w:t xml:space="preserve">«Тайшетское городское поселение»</w:t>
      </w:r>
      <w:r>
        <w:rPr>
          <w:b/>
        </w:rPr>
      </w:r>
      <w:r/>
    </w:p>
    <w:p>
      <w:pPr>
        <w:pStyle w:val="62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ТАЙШЕТСКОГО ГОРОДСКОГО ПОСЕЛЕНИЯ</w:t>
      </w:r>
      <w:r>
        <w:rPr>
          <w:b/>
          <w:sz w:val="28"/>
          <w:szCs w:val="28"/>
        </w:rPr>
      </w:r>
    </w:p>
    <w:p>
      <w:pPr>
        <w:pStyle w:val="621"/>
        <w:jc w:val="center"/>
        <w:rPr>
          <w:b w:val="0"/>
          <w:bCs w:val="0"/>
        </w:rPr>
      </w:pPr>
      <w:r>
        <w:rPr>
          <w:b w:val="0"/>
          <w:bCs w:val="0"/>
        </w:rPr>
      </w:r>
      <w:r>
        <w:rPr>
          <w:b w:val="0"/>
          <w:bCs w:val="0"/>
        </w:rPr>
      </w:r>
    </w:p>
    <w:p>
      <w:pPr>
        <w:pStyle w:val="621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П О С Т А Н О В Л Е Н И Е</w:t>
      </w:r>
      <w:r>
        <w:rPr>
          <w:sz w:val="28"/>
          <w:szCs w:val="28"/>
        </w:rPr>
      </w:r>
    </w:p>
    <w:p>
      <w:pPr>
        <w:pStyle w:val="621"/>
        <w:jc w:val="center"/>
      </w:pPr>
      <w:r/>
      <w:r/>
    </w:p>
    <w:p>
      <w:pPr>
        <w:pStyle w:val="621"/>
      </w:pPr>
      <w:r>
        <w:t xml:space="preserve">От 13.05.20</w:t>
      </w:r>
      <w:r>
        <w:t xml:space="preserve">2</w:t>
      </w:r>
      <w:r>
        <w:t xml:space="preserve">5</w:t>
      </w:r>
      <w:r>
        <w:t xml:space="preserve">г.</w:t>
        <w:tab/>
        <w:tab/>
        <w:tab/>
        <w:tab/>
        <w:t xml:space="preserve"> г.Тайшет</w:t>
        <w:tab/>
        <w:tab/>
        <w:tab/>
        <w:tab/>
        <w:tab/>
        <w:t xml:space="preserve">№380</w:t>
      </w:r>
      <w:r/>
    </w:p>
    <w:p>
      <w:pPr>
        <w:pStyle w:val="621"/>
      </w:pPr>
      <w:r/>
      <w:r/>
    </w:p>
    <w:p>
      <w:pPr>
        <w:pStyle w:val="621"/>
        <w:ind w:right="4876"/>
        <w:jc w:val="both"/>
        <w:suppressLineNumbers w:val="0"/>
      </w:pPr>
      <w:r>
        <w:t xml:space="preserve">О внесении изменений в административный</w:t>
      </w:r>
      <w:r>
        <w:t xml:space="preserve"> регламент предоставления муниципальной услуги </w:t>
      </w:r>
      <w:r/>
      <w:r/>
      <w:r>
        <w:t xml:space="preserve">«</w:t>
      </w:r>
      <w:r>
        <w:t xml:space="preserve">Выдача </w:t>
      </w:r>
      <w:r>
        <w:t xml:space="preserve">разрешения на ввод объекта в эксплуата</w:t>
      </w:r>
      <w:r/>
      <w:r/>
      <w:r>
        <w:t xml:space="preserve">цию» на территории Тайшетского муниципального</w:t>
      </w:r>
      <w:r>
        <w:t xml:space="preserve"> </w:t>
      </w:r>
      <w:r/>
      <w:r>
        <w:t xml:space="preserve">образования «Тайшетское городское поселение»</w:t>
      </w:r>
      <w:r>
        <w:t xml:space="preserve">,</w:t>
      </w:r>
      <w:r>
        <w:t xml:space="preserve"> </w:t>
      </w:r>
      <w:r>
        <w:t xml:space="preserve">утверждённый постановлением администрации</w:t>
      </w:r>
      <w:r>
        <w:t xml:space="preserve"> </w:t>
      </w:r>
      <w:r/>
      <w:r>
        <w:t xml:space="preserve">Тайшетского городского</w:t>
      </w:r>
      <w:r>
        <w:t xml:space="preserve"> </w:t>
      </w:r>
      <w:r>
        <w:t xml:space="preserve">поселения от </w:t>
      </w:r>
      <w:r>
        <w:t xml:space="preserve">10 марта </w:t>
      </w:r>
      <w:r>
        <w:t xml:space="preserve">20</w:t>
      </w:r>
      <w:r>
        <w:t xml:space="preserve">23</w:t>
      </w:r>
      <w:r>
        <w:t xml:space="preserve"> года </w:t>
      </w:r>
      <w:r/>
      <w:r>
        <w:t xml:space="preserve">№ </w:t>
      </w:r>
      <w:r>
        <w:t xml:space="preserve">1</w:t>
      </w:r>
      <w:r>
        <w:t xml:space="preserve">84</w:t>
      </w:r>
      <w:r>
        <w:t xml:space="preserve"> </w:t>
      </w:r>
      <w:r/>
      <w:r/>
    </w:p>
    <w:p>
      <w:pPr>
        <w:pStyle w:val="621"/>
      </w:pPr>
      <w:r/>
      <w:r/>
    </w:p>
    <w:p>
      <w:pPr>
        <w:pStyle w:val="621"/>
        <w:ind w:firstLine="720"/>
        <w:jc w:val="both"/>
        <w:suppressLineNumbers w:val="0"/>
      </w:pPr>
      <w:r>
        <w:t xml:space="preserve">В целях приведения муниципального правового акта в соответствие с действующим з</w:t>
      </w:r>
      <w:r>
        <w:t xml:space="preserve">а</w:t>
      </w:r>
      <w:r>
        <w:t xml:space="preserve">конодательством</w:t>
      </w:r>
      <w:r>
        <w:t xml:space="preserve">, руководствуясь</w:t>
      </w:r>
      <w:r>
        <w:t xml:space="preserve"> Уставом Тайшетского муниципального образования «Тайше</w:t>
      </w:r>
      <w:r>
        <w:t xml:space="preserve">т</w:t>
      </w:r>
      <w:r>
        <w:t xml:space="preserve">ское городское поселен</w:t>
      </w:r>
      <w:r>
        <w:t xml:space="preserve">ие», Положением «Об</w:t>
      </w:r>
      <w:r>
        <w:t xml:space="preserve"> администрации Тайшетского </w:t>
      </w:r>
      <w:r>
        <w:t xml:space="preserve">городского посел</w:t>
      </w:r>
      <w:r>
        <w:t xml:space="preserve">е</w:t>
      </w:r>
      <w:r>
        <w:t xml:space="preserve">ния</w:t>
      </w:r>
      <w:r>
        <w:t xml:space="preserve">», утве</w:t>
      </w:r>
      <w:r>
        <w:t xml:space="preserve">р</w:t>
      </w:r>
      <w:r>
        <w:t xml:space="preserve">жденным решением Думы Тайшетского городского посе</w:t>
      </w:r>
      <w:r>
        <w:t xml:space="preserve">ления от 30 августа 2018 года №63</w:t>
      </w:r>
      <w:r>
        <w:t xml:space="preserve">, постановлением администрации Тайшетского городского поселения «О порядке разработки, у</w:t>
      </w:r>
      <w:r>
        <w:t xml:space="preserve">т</w:t>
      </w:r>
      <w:r>
        <w:t xml:space="preserve">верждения и изм</w:t>
      </w:r>
      <w:r>
        <w:t xml:space="preserve">е</w:t>
      </w:r>
      <w:r>
        <w:t xml:space="preserve">нения административных регламентов предоставления муниципальных услуг Тайшетского городского поселения от 17 февраля 2015 года №94, администрация Тайшетского городск</w:t>
      </w:r>
      <w:r>
        <w:t xml:space="preserve">о</w:t>
      </w:r>
      <w:r>
        <w:t xml:space="preserve">го поселения,</w:t>
      </w:r>
      <w:r/>
    </w:p>
    <w:p>
      <w:pPr>
        <w:pStyle w:val="621"/>
        <w:jc w:val="both"/>
      </w:pPr>
      <w:r/>
      <w:r/>
    </w:p>
    <w:p>
      <w:pPr>
        <w:pStyle w:val="62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 О С Т А Н О В Л Я Е Т:</w:t>
      </w:r>
      <w:r>
        <w:rPr>
          <w:b/>
          <w:sz w:val="28"/>
          <w:szCs w:val="28"/>
        </w:rPr>
      </w:r>
    </w:p>
    <w:p>
      <w:pPr>
        <w:pStyle w:val="621"/>
      </w:pPr>
      <w:r/>
      <w:r/>
    </w:p>
    <w:p>
      <w:pPr>
        <w:pStyle w:val="621"/>
        <w:ind w:firstLine="720"/>
        <w:jc w:val="both"/>
        <w:suppressLineNumbers w:val="0"/>
      </w:pPr>
      <w:r>
        <w:t xml:space="preserve">1. Внести в административный регламент предоставления муниципальной услуги «</w:t>
      </w:r>
      <w:r>
        <w:t xml:space="preserve">Выд</w:t>
      </w:r>
      <w:r>
        <w:t xml:space="preserve">а</w:t>
      </w:r>
      <w:r>
        <w:t xml:space="preserve">ча </w:t>
      </w:r>
      <w:r>
        <w:t xml:space="preserve">разрешения на ввод объекта в эксплуатацию</w:t>
      </w:r>
      <w:r>
        <w:t xml:space="preserve">»</w:t>
      </w:r>
      <w:r>
        <w:t xml:space="preserve"> на территории Тайшетского муниципального образования «Тайшетское городское поселение»</w:t>
      </w:r>
      <w:r>
        <w:t xml:space="preserve">, утверждённый постановлением администр</w:t>
      </w:r>
      <w:r>
        <w:t xml:space="preserve">а</w:t>
      </w:r>
      <w:r>
        <w:t xml:space="preserve">ции Тайше</w:t>
      </w:r>
      <w:r>
        <w:t xml:space="preserve">т</w:t>
      </w:r>
      <w:r>
        <w:t xml:space="preserve">ского городского поселения от </w:t>
      </w:r>
      <w:r>
        <w:t xml:space="preserve">10</w:t>
      </w:r>
      <w:r>
        <w:t xml:space="preserve"> марта 20</w:t>
      </w:r>
      <w:r>
        <w:t xml:space="preserve">23</w:t>
      </w:r>
      <w:r>
        <w:t xml:space="preserve"> года № </w:t>
      </w:r>
      <w:r>
        <w:t xml:space="preserve">1</w:t>
      </w:r>
      <w:r>
        <w:t xml:space="preserve">84</w:t>
      </w:r>
      <w:r>
        <w:t xml:space="preserve"> следующие изменения</w:t>
      </w:r>
      <w:r>
        <w:t xml:space="preserve">: </w:t>
      </w:r>
      <w:r/>
    </w:p>
    <w:p>
      <w:pPr>
        <w:pStyle w:val="621"/>
        <w:ind w:firstLine="720"/>
        <w:jc w:val="both"/>
        <w:suppressLineNumbers w:val="0"/>
      </w:pPr>
      <w:r>
        <w:t xml:space="preserve">1.1. </w:t>
      </w:r>
      <w:r>
        <w:t xml:space="preserve">По всему тексту административного регламента</w:t>
      </w:r>
      <w:r>
        <w:t xml:space="preserve"> слова «региональный портал гос</w:t>
      </w:r>
      <w:r>
        <w:t xml:space="preserve">у</w:t>
      </w:r>
      <w:r>
        <w:t xml:space="preserve">дарственных и муниципальных услуг (функций), являющейся государственной информацио</w:t>
      </w:r>
      <w:r>
        <w:t xml:space="preserve">н</w:t>
      </w:r>
      <w:r>
        <w:t xml:space="preserve">ной системой субъекта Российской Федерации» и слова «региональный портал»  в соответс</w:t>
      </w:r>
      <w:r>
        <w:t xml:space="preserve">т</w:t>
      </w:r>
      <w:r>
        <w:t xml:space="preserve">вующ</w:t>
      </w:r>
      <w:r>
        <w:t xml:space="preserve">ем</w:t>
      </w:r>
      <w:r>
        <w:t xml:space="preserve"> падеже</w:t>
      </w:r>
      <w:r>
        <w:t xml:space="preserve"> искл</w:t>
      </w:r>
      <w:r>
        <w:t xml:space="preserve">ю</w:t>
      </w:r>
      <w:r>
        <w:t xml:space="preserve">чить.</w:t>
      </w:r>
      <w:r/>
    </w:p>
    <w:p>
      <w:pPr>
        <w:pStyle w:val="621"/>
        <w:ind w:firstLine="720"/>
        <w:jc w:val="both"/>
        <w:suppressLineNumbers w:val="0"/>
      </w:pPr>
      <w:r>
        <w:t xml:space="preserve">1.</w:t>
      </w:r>
      <w:r>
        <w:t xml:space="preserve">2</w:t>
      </w:r>
      <w:r>
        <w:t xml:space="preserve">. Подпункт </w:t>
      </w:r>
      <w:r>
        <w:t xml:space="preserve">«а» пункта 2.4 </w:t>
      </w:r>
      <w:r>
        <w:rPr>
          <w:lang w:val="en-US"/>
        </w:rPr>
        <w:t xml:space="preserve">I</w:t>
      </w:r>
      <w:r>
        <w:t xml:space="preserve"> изложить в новой редакции:</w:t>
      </w:r>
      <w:r/>
    </w:p>
    <w:p>
      <w:pPr>
        <w:pStyle w:val="627"/>
        <w:ind w:right="657" w:firstLine="720"/>
        <w:jc w:val="both"/>
        <w:spacing w:before="0" w:beforeAutospacing="0"/>
        <w:tabs>
          <w:tab w:val="left" w:pos="3903" w:leader="none"/>
          <w:tab w:val="left" w:pos="5557" w:leader="none"/>
        </w:tabs>
        <w:suppressLineNumbers w:val="0"/>
      </w:pPr>
      <w:r>
        <w:t xml:space="preserve">«а) в электронной форме посредством федеральной государственной</w:t>
      </w:r>
      <w:r>
        <w:rPr>
          <w:spacing w:val="1"/>
        </w:rPr>
        <w:t xml:space="preserve"> и</w:t>
      </w:r>
      <w:r>
        <w:t xml:space="preserve">нформац</w:t>
      </w:r>
      <w:r>
        <w:t xml:space="preserve">и</w:t>
      </w:r>
      <w:r>
        <w:t xml:space="preserve">онной</w:t>
      </w:r>
      <w:r>
        <w:rPr>
          <w:spacing w:val="-7"/>
        </w:rPr>
        <w:t xml:space="preserve"> </w:t>
      </w:r>
      <w:r>
        <w:t xml:space="preserve">системы</w:t>
      </w:r>
      <w:r>
        <w:rPr>
          <w:spacing w:val="49"/>
        </w:rPr>
        <w:t xml:space="preserve"> </w:t>
      </w:r>
      <w:r>
        <w:t xml:space="preserve">«Единый</w:t>
      </w:r>
      <w:r>
        <w:rPr>
          <w:spacing w:val="-7"/>
        </w:rPr>
        <w:t xml:space="preserve"> </w:t>
      </w:r>
      <w:r>
        <w:t xml:space="preserve">портал</w:t>
      </w:r>
      <w:r>
        <w:rPr>
          <w:spacing w:val="-7"/>
        </w:rPr>
        <w:t xml:space="preserve"> </w:t>
      </w:r>
      <w:r>
        <w:t xml:space="preserve">государственных</w:t>
      </w:r>
      <w:r>
        <w:rPr>
          <w:spacing w:val="-7"/>
        </w:rPr>
        <w:t xml:space="preserve"> </w:t>
      </w:r>
      <w:r>
        <w:t xml:space="preserve">и</w:t>
      </w:r>
      <w:r>
        <w:rPr>
          <w:spacing w:val="-7"/>
        </w:rPr>
        <w:t xml:space="preserve"> </w:t>
      </w:r>
      <w:r>
        <w:t xml:space="preserve">муниципальных</w:t>
      </w:r>
      <w:r>
        <w:rPr>
          <w:spacing w:val="-67"/>
        </w:rPr>
        <w:t xml:space="preserve"> </w:t>
      </w:r>
      <w:r>
        <w:t xml:space="preserve">услуг (фун</w:t>
      </w:r>
      <w:r>
        <w:t xml:space="preserve">к</w:t>
      </w:r>
      <w:r>
        <w:t xml:space="preserve">ций)» (далее– Ед</w:t>
      </w:r>
      <w:r>
        <w:t xml:space="preserve">и</w:t>
      </w:r>
      <w:r>
        <w:t xml:space="preserve">ный портал).</w:t>
      </w:r>
      <w:r/>
    </w:p>
    <w:p>
      <w:pPr>
        <w:pStyle w:val="627"/>
        <w:ind w:right="293" w:firstLine="720"/>
        <w:jc w:val="both"/>
        <w:spacing w:before="0" w:beforeAutospacing="0"/>
        <w:suppressLineNumbers w:val="0"/>
      </w:pPr>
      <w:r>
        <w:t xml:space="preserve">В случае направления заявления о выдаче разрешения на ввод объекта в</w:t>
      </w:r>
      <w:r>
        <w:rPr>
          <w:spacing w:val="1"/>
        </w:rPr>
        <w:t xml:space="preserve"> </w:t>
      </w:r>
      <w:r>
        <w:t xml:space="preserve">эксплуатацию и прилагаемых к нему документов указанным способом заявитель</w:t>
      </w:r>
      <w:r>
        <w:rPr>
          <w:spacing w:val="1"/>
        </w:rPr>
        <w:t xml:space="preserve"> </w:t>
      </w:r>
      <w:r>
        <w:t xml:space="preserve">или его представитель, прошедшие процедуры регистрации, идентификации и</w:t>
      </w:r>
      <w:r>
        <w:rPr>
          <w:spacing w:val="1"/>
        </w:rPr>
        <w:t xml:space="preserve"> </w:t>
      </w:r>
      <w:r>
        <w:t xml:space="preserve">а</w:t>
      </w:r>
      <w:r>
        <w:t xml:space="preserve">у</w:t>
      </w:r>
      <w:r>
        <w:t xml:space="preserve">тентификации с использованием федеральной государственной</w:t>
      </w:r>
      <w:r>
        <w:rPr>
          <w:spacing w:val="1"/>
        </w:rPr>
        <w:t xml:space="preserve"> </w:t>
      </w:r>
      <w:r>
        <w:t xml:space="preserve">информационной системы</w:t>
      </w:r>
      <w:r>
        <w:rPr>
          <w:spacing w:val="1"/>
        </w:rPr>
        <w:t xml:space="preserve"> </w:t>
      </w:r>
      <w:r>
        <w:t xml:space="preserve">«Единая система идентификации и аутентификации в</w:t>
      </w:r>
      <w:r>
        <w:rPr>
          <w:spacing w:val="1"/>
        </w:rPr>
        <w:t xml:space="preserve"> </w:t>
      </w:r>
      <w:r>
        <w:t xml:space="preserve">инфраструктуре, обеспечивающей информационно-технологическое</w:t>
      </w:r>
      <w:r>
        <w:rPr>
          <w:spacing w:val="1"/>
        </w:rPr>
        <w:t xml:space="preserve"> </w:t>
      </w:r>
      <w:r>
        <w:t xml:space="preserve">вза</w:t>
      </w:r>
      <w:r>
        <w:t xml:space="preserve">и</w:t>
      </w:r>
      <w:r>
        <w:t xml:space="preserve">модействие информ</w:t>
      </w:r>
      <w:r>
        <w:t xml:space="preserve">а</w:t>
      </w:r>
      <w:r>
        <w:t xml:space="preserve">ционных систем, используемых для предоставления</w:t>
      </w:r>
      <w:r>
        <w:rPr>
          <w:spacing w:val="1"/>
        </w:rPr>
        <w:t xml:space="preserve"> </w:t>
      </w:r>
      <w:r>
        <w:t xml:space="preserve">государственных и муниципальных услуг в электронной форме»</w:t>
      </w:r>
      <w:r>
        <w:rPr>
          <w:spacing w:val="1"/>
        </w:rPr>
        <w:t xml:space="preserve"> </w:t>
      </w:r>
      <w:r>
        <w:t xml:space="preserve">(далее – ЕСИА)</w:t>
      </w:r>
      <w:r>
        <w:rPr>
          <w:spacing w:val="1"/>
        </w:rPr>
        <w:t xml:space="preserve"> </w:t>
      </w:r>
      <w:r>
        <w:t xml:space="preserve">или иных государственных и</w:t>
      </w:r>
      <w:r>
        <w:t xml:space="preserve">н</w:t>
      </w:r>
      <w:r>
        <w:t xml:space="preserve">формационных систем, если такие государственные</w:t>
      </w:r>
      <w:r>
        <w:rPr>
          <w:spacing w:val="1"/>
        </w:rPr>
        <w:t xml:space="preserve"> </w:t>
      </w:r>
      <w:r>
        <w:t xml:space="preserve">информационные системы в установле</w:t>
      </w:r>
      <w:r>
        <w:t xml:space="preserve">н</w:t>
      </w:r>
      <w:r>
        <w:t xml:space="preserve">ном Правительством Российской</w:t>
      </w:r>
      <w:r>
        <w:rPr>
          <w:spacing w:val="1"/>
        </w:rPr>
        <w:t xml:space="preserve"> </w:t>
      </w:r>
      <w:r>
        <w:t xml:space="preserve">Федерации порядке обеспечивают взаимодействие с ЕСИА, при условии</w:t>
      </w:r>
      <w:r>
        <w:rPr>
          <w:spacing w:val="1"/>
        </w:rPr>
        <w:t xml:space="preserve"> </w:t>
      </w:r>
      <w:r>
        <w:t xml:space="preserve">совпадения сведений о физическом лице в указанных информационных сист</w:t>
      </w:r>
      <w:r>
        <w:t xml:space="preserve">е</w:t>
      </w:r>
      <w:r>
        <w:t xml:space="preserve">мах,</w:t>
      </w:r>
      <w:r>
        <w:rPr>
          <w:spacing w:val="1"/>
        </w:rPr>
        <w:t xml:space="preserve"> </w:t>
      </w:r>
      <w:r>
        <w:t xml:space="preserve">заполняют форму указанного заявления с использованием интерактивной формы в</w:t>
      </w:r>
      <w:r>
        <w:rPr>
          <w:spacing w:val="-67"/>
        </w:rPr>
        <w:t xml:space="preserve"> </w:t>
      </w:r>
      <w:r>
        <w:t xml:space="preserve">эле</w:t>
      </w:r>
      <w:r>
        <w:t xml:space="preserve">к</w:t>
      </w:r>
      <w:r>
        <w:t xml:space="preserve">тронном</w:t>
      </w:r>
      <w:r>
        <w:rPr>
          <w:spacing w:val="-1"/>
        </w:rPr>
        <w:t xml:space="preserve"> </w:t>
      </w:r>
      <w:r>
        <w:t xml:space="preserve">виде.</w:t>
      </w:r>
      <w:r/>
    </w:p>
    <w:p>
      <w:pPr>
        <w:pStyle w:val="627"/>
        <w:ind w:right="438" w:firstLine="720"/>
        <w:jc w:val="both"/>
        <w:spacing w:before="1"/>
        <w:tabs>
          <w:tab w:val="left" w:pos="3406" w:leader="none"/>
          <w:tab w:val="left" w:pos="5315" w:leader="none"/>
          <w:tab w:val="left" w:pos="6725" w:leader="none"/>
          <w:tab w:val="left" w:pos="8482" w:leader="none"/>
        </w:tabs>
        <w:suppressLineNumbers w:val="0"/>
      </w:pPr>
      <w:r>
        <w:t xml:space="preserve">Заявление о выдаче разрешения на ввод объекта в эксплуатацию</w:t>
      </w:r>
      <w:r>
        <w:rPr>
          <w:spacing w:val="1"/>
        </w:rPr>
        <w:t xml:space="preserve"> </w:t>
      </w:r>
      <w:r>
        <w:t xml:space="preserve">направляется заяв</w:t>
      </w:r>
      <w:r>
        <w:t xml:space="preserve">и</w:t>
      </w:r>
      <w:r>
        <w:t xml:space="preserve">телем или его представителем вместе с прикрепленным</w:t>
      </w:r>
      <w:r>
        <w:rPr>
          <w:spacing w:val="1"/>
        </w:rPr>
        <w:t xml:space="preserve"> </w:t>
      </w:r>
      <w:r>
        <w:t xml:space="preserve">электронным документом, указа</w:t>
      </w:r>
      <w:r>
        <w:t xml:space="preserve">н</w:t>
      </w:r>
      <w:r>
        <w:t xml:space="preserve">ным в подпункте</w:t>
      </w:r>
      <w:r>
        <w:rPr>
          <w:spacing w:val="1"/>
        </w:rPr>
        <w:t xml:space="preserve"> «д»</w:t>
      </w:r>
      <w:r>
        <w:t xml:space="preserve"> пункта 2.8</w:t>
      </w:r>
      <w:r>
        <w:rPr>
          <w:spacing w:val="1"/>
        </w:rPr>
        <w:t xml:space="preserve"> </w:t>
      </w:r>
      <w:r>
        <w:t xml:space="preserve">настоящего Административного регламента. Заявление о выдаче разрешения на</w:t>
      </w:r>
      <w:r>
        <w:rPr>
          <w:spacing w:val="1"/>
        </w:rPr>
        <w:t xml:space="preserve"> </w:t>
      </w:r>
      <w:r>
        <w:t xml:space="preserve">ввод объекта в эксплуатацию подписывается заявителем или его представителем,</w:t>
      </w:r>
      <w:r>
        <w:rPr>
          <w:spacing w:val="-67"/>
        </w:rPr>
        <w:t xml:space="preserve"> </w:t>
      </w:r>
      <w:r>
        <w:t xml:space="preserve">уполномоченным на подписание такого заявления, простой электронной</w:t>
      </w:r>
      <w:r>
        <w:rPr>
          <w:spacing w:val="1"/>
        </w:rPr>
        <w:t xml:space="preserve"> </w:t>
      </w:r>
      <w:r>
        <w:t xml:space="preserve">подписью, либо ус</w:t>
      </w:r>
      <w:r>
        <w:t xml:space="preserve">и</w:t>
      </w:r>
      <w:r>
        <w:t xml:space="preserve">ленной квалифицированной электронной подписью, либо</w:t>
      </w:r>
      <w:r>
        <w:rPr>
          <w:spacing w:val="1"/>
        </w:rPr>
        <w:t xml:space="preserve"> </w:t>
      </w:r>
      <w:r>
        <w:t xml:space="preserve">усиленной неквалифицированной электронной подписью, сертификат ключа</w:t>
      </w:r>
      <w:r>
        <w:rPr>
          <w:spacing w:val="1"/>
        </w:rPr>
        <w:t xml:space="preserve"> </w:t>
      </w:r>
      <w:r>
        <w:t xml:space="preserve">проверки которой создан и используется в инфраструктуре, обеспечивающей</w:t>
      </w:r>
      <w:r>
        <w:rPr>
          <w:spacing w:val="1"/>
        </w:rPr>
        <w:t xml:space="preserve"> </w:t>
      </w:r>
      <w:r>
        <w:t xml:space="preserve">информационно-технологическое вза</w:t>
      </w:r>
      <w:r>
        <w:t xml:space="preserve">и</w:t>
      </w:r>
      <w:r>
        <w:t xml:space="preserve">модействие информацио</w:t>
      </w:r>
      <w:r>
        <w:t xml:space="preserve">н</w:t>
      </w:r>
      <w:r>
        <w:t xml:space="preserve">ных систем,</w:t>
      </w:r>
      <w:r>
        <w:rPr>
          <w:spacing w:val="1"/>
        </w:rPr>
        <w:t xml:space="preserve"> </w:t>
      </w:r>
      <w:r>
        <w:t xml:space="preserve">используемых для предоставления государственных и муниципальных услуг в</w:t>
      </w:r>
      <w:r>
        <w:rPr>
          <w:spacing w:val="1"/>
        </w:rPr>
        <w:t xml:space="preserve"> </w:t>
      </w:r>
      <w:r>
        <w:t xml:space="preserve">электронной форме, которая создается и проверяется с использов</w:t>
      </w:r>
      <w:r>
        <w:t xml:space="preserve">а</w:t>
      </w:r>
      <w:r>
        <w:t xml:space="preserve">нием средств</w:t>
      </w:r>
      <w:r>
        <w:rPr>
          <w:spacing w:val="1"/>
        </w:rPr>
        <w:t xml:space="preserve"> </w:t>
      </w:r>
      <w:r>
        <w:t xml:space="preserve">электронной подписи и средств удостоверяющего центра, имеющих</w:t>
      </w:r>
      <w:r>
        <w:rPr>
          <w:spacing w:val="1"/>
        </w:rPr>
        <w:t xml:space="preserve"> </w:t>
      </w:r>
      <w:r>
        <w:t xml:space="preserve">подтве</w:t>
      </w:r>
      <w:r>
        <w:t xml:space="preserve">р</w:t>
      </w:r>
      <w:r>
        <w:t xml:space="preserve">ждение соответствия требован</w:t>
      </w:r>
      <w:r>
        <w:t xml:space="preserve">и</w:t>
      </w:r>
      <w:r>
        <w:t xml:space="preserve">ям, установленным федеральным органом </w:t>
      </w:r>
      <w:r>
        <w:rPr>
          <w:spacing w:val="-67"/>
        </w:rPr>
        <w:t xml:space="preserve"> </w:t>
      </w:r>
      <w:r>
        <w:t xml:space="preserve">исполнительной власти в области обеспечения безопасности в соответствии с</w:t>
      </w:r>
      <w:r>
        <w:rPr>
          <w:spacing w:val="1"/>
        </w:rPr>
        <w:t xml:space="preserve"> </w:t>
      </w:r>
      <w:r>
        <w:t xml:space="preserve">частью</w:t>
      </w:r>
      <w:r>
        <w:rPr>
          <w:spacing w:val="1"/>
        </w:rPr>
        <w:t xml:space="preserve"> </w:t>
      </w:r>
      <w:r>
        <w:t xml:space="preserve">5 статьи</w:t>
      </w:r>
      <w:r>
        <w:rPr>
          <w:spacing w:val="1"/>
        </w:rPr>
        <w:t xml:space="preserve"> </w:t>
      </w:r>
      <w:r>
        <w:t xml:space="preserve">8 Федеральн</w:t>
      </w:r>
      <w:r>
        <w:t xml:space="preserve">о</w:t>
      </w:r>
      <w:r>
        <w:t xml:space="preserve">го закона</w:t>
      </w:r>
      <w:r>
        <w:rPr>
          <w:spacing w:val="1"/>
        </w:rPr>
        <w:t xml:space="preserve"> </w:t>
      </w:r>
      <w:r>
        <w:t xml:space="preserve">"Об электронной подписи", а также при</w:t>
      </w:r>
      <w:r>
        <w:rPr>
          <w:spacing w:val="-67"/>
        </w:rPr>
        <w:t xml:space="preserve">  </w:t>
      </w:r>
      <w:r>
        <w:t xml:space="preserve">наличии у владельца сертификата ключа проверки ключа простой электронной</w:t>
      </w:r>
      <w:r>
        <w:rPr>
          <w:spacing w:val="1"/>
        </w:rPr>
        <w:t xml:space="preserve"> </w:t>
      </w:r>
      <w:r>
        <w:t xml:space="preserve">подписи, выданного ему при личном приеме в соо</w:t>
      </w:r>
      <w:r>
        <w:t xml:space="preserve">т</w:t>
      </w:r>
      <w:r>
        <w:t xml:space="preserve">ветствии с Правилами</w:t>
      </w:r>
      <w:r>
        <w:rPr>
          <w:spacing w:val="1"/>
        </w:rPr>
        <w:t xml:space="preserve"> </w:t>
      </w:r>
      <w:r>
        <w:t xml:space="preserve">использования простой электронной подписи при обращении за п</w:t>
      </w:r>
      <w:r>
        <w:t xml:space="preserve">о</w:t>
      </w:r>
      <w:r>
        <w:t xml:space="preserve">лучением</w:t>
      </w:r>
      <w:r>
        <w:rPr>
          <w:spacing w:val="1"/>
        </w:rPr>
        <w:t xml:space="preserve"> </w:t>
      </w:r>
      <w:r>
        <w:t xml:space="preserve">государственных и муниципальных услуг, утвержденными постановлением</w:t>
      </w:r>
      <w:r>
        <w:rPr>
          <w:spacing w:val="1"/>
        </w:rPr>
        <w:t xml:space="preserve"> </w:t>
      </w:r>
      <w:r>
        <w:t xml:space="preserve">Пр</w:t>
      </w:r>
      <w:r>
        <w:t xml:space="preserve">а</w:t>
      </w:r>
      <w:r>
        <w:t xml:space="preserve">вительства</w:t>
      </w:r>
      <w:r>
        <w:rPr>
          <w:spacing w:val="-6"/>
        </w:rPr>
        <w:t xml:space="preserve"> </w:t>
      </w:r>
      <w:r>
        <w:t xml:space="preserve">Российской</w:t>
      </w:r>
      <w:r>
        <w:rPr>
          <w:spacing w:val="-5"/>
        </w:rPr>
        <w:t xml:space="preserve"> </w:t>
      </w:r>
      <w:r>
        <w:t xml:space="preserve">Федерации</w:t>
      </w:r>
      <w:r>
        <w:rPr>
          <w:spacing w:val="-5"/>
        </w:rPr>
        <w:t xml:space="preserve"> </w:t>
      </w:r>
      <w:r>
        <w:t xml:space="preserve">от 25</w:t>
      </w:r>
      <w:r>
        <w:rPr>
          <w:spacing w:val="1"/>
        </w:rPr>
        <w:t xml:space="preserve"> </w:t>
      </w:r>
      <w:r>
        <w:t xml:space="preserve">января 2013</w:t>
      </w:r>
      <w:r>
        <w:rPr>
          <w:spacing w:val="1"/>
        </w:rPr>
        <w:t xml:space="preserve"> </w:t>
      </w:r>
      <w:r>
        <w:t xml:space="preserve">года</w:t>
      </w:r>
      <w:r>
        <w:rPr>
          <w:spacing w:val="-1"/>
        </w:rPr>
        <w:t xml:space="preserve"> </w:t>
      </w:r>
      <w:r>
        <w:t xml:space="preserve">№ 33 «Об</w:t>
      </w:r>
      <w:r>
        <w:rPr>
          <w:spacing w:val="1"/>
        </w:rPr>
        <w:t xml:space="preserve"> </w:t>
      </w:r>
      <w:r>
        <w:t xml:space="preserve">использовании пр</w:t>
      </w:r>
      <w:r>
        <w:t xml:space="preserve">о</w:t>
      </w:r>
      <w:r>
        <w:t xml:space="preserve">стой электронной подписи при оказании государственных и</w:t>
      </w:r>
      <w:r>
        <w:rPr>
          <w:spacing w:val="1"/>
        </w:rPr>
        <w:t xml:space="preserve"> </w:t>
      </w:r>
      <w:r>
        <w:t xml:space="preserve">муниципальных</w:t>
      </w:r>
      <w:r>
        <w:rPr>
          <w:spacing w:val="-6"/>
        </w:rPr>
        <w:t xml:space="preserve"> </w:t>
      </w:r>
      <w:r>
        <w:t xml:space="preserve">услуг»,</w:t>
      </w:r>
      <w:r>
        <w:rPr>
          <w:spacing w:val="-4"/>
        </w:rPr>
        <w:t xml:space="preserve"> </w:t>
      </w:r>
      <w:r>
        <w:t xml:space="preserve">в </w:t>
      </w:r>
      <w:r>
        <w:t xml:space="preserve">соо</w:t>
      </w:r>
      <w:r>
        <w:t xml:space="preserve">т</w:t>
      </w:r>
      <w:r>
        <w:t xml:space="preserve">ветствии с Правилами определения видов</w:t>
      </w:r>
      <w:r>
        <w:rPr>
          <w:spacing w:val="1"/>
        </w:rPr>
        <w:t xml:space="preserve"> </w:t>
      </w:r>
      <w:r>
        <w:t xml:space="preserve">электронной подписи, использование которых допускается при обращении за</w:t>
      </w:r>
      <w:r>
        <w:rPr>
          <w:spacing w:val="1"/>
        </w:rPr>
        <w:t xml:space="preserve"> </w:t>
      </w:r>
      <w:r>
        <w:t xml:space="preserve">получением государственных и муниципальных услуг, у</w:t>
      </w:r>
      <w:r>
        <w:t xml:space="preserve">т</w:t>
      </w:r>
      <w:r>
        <w:t xml:space="preserve">вержденными</w:t>
      </w:r>
      <w:r>
        <w:rPr>
          <w:spacing w:val="1"/>
        </w:rPr>
        <w:t xml:space="preserve"> </w:t>
      </w:r>
      <w:r>
        <w:t xml:space="preserve">постановлением Правительства Росси</w:t>
      </w:r>
      <w:r>
        <w:t xml:space="preserve">й</w:t>
      </w:r>
      <w:r>
        <w:t xml:space="preserve">ской Федерации от 25 июня 2012 года №634</w:t>
      </w:r>
      <w:r>
        <w:rPr>
          <w:spacing w:val="1"/>
        </w:rPr>
        <w:t xml:space="preserve"> </w:t>
      </w:r>
      <w:r>
        <w:t xml:space="preserve">«О видах электронной подписи, использование кот</w:t>
      </w:r>
      <w:r>
        <w:t xml:space="preserve">о</w:t>
      </w:r>
      <w:r>
        <w:t xml:space="preserve">рых допускается при</w:t>
      </w:r>
      <w:r>
        <w:rPr>
          <w:spacing w:val="1"/>
        </w:rPr>
        <w:t xml:space="preserve"> </w:t>
      </w:r>
      <w:r>
        <w:t xml:space="preserve">обращении за получением государственных и муниципальных услуг»</w:t>
      </w:r>
      <w:r>
        <w:rPr>
          <w:spacing w:val="1"/>
        </w:rPr>
        <w:t xml:space="preserve"> </w:t>
      </w:r>
      <w:r>
        <w:t xml:space="preserve">(далее</w:t>
      </w:r>
      <w:r>
        <w:rPr>
          <w:spacing w:val="1"/>
        </w:rPr>
        <w:t xml:space="preserve"> </w:t>
      </w:r>
      <w:r>
        <w:t xml:space="preserve">–</w:t>
      </w:r>
      <w:r>
        <w:rPr>
          <w:spacing w:val="1"/>
        </w:rPr>
        <w:t xml:space="preserve"> </w:t>
      </w:r>
      <w:r>
        <w:t xml:space="preserve">усиленная</w:t>
      </w:r>
      <w:r>
        <w:rPr>
          <w:spacing w:val="-1"/>
        </w:rPr>
        <w:t xml:space="preserve"> </w:t>
      </w:r>
      <w:r>
        <w:t xml:space="preserve">неквалифицир</w:t>
      </w:r>
      <w:r>
        <w:t xml:space="preserve">о</w:t>
      </w:r>
      <w:r>
        <w:t xml:space="preserve">ванная</w:t>
      </w:r>
      <w:r>
        <w:rPr>
          <w:spacing w:val="-2"/>
        </w:rPr>
        <w:t xml:space="preserve"> </w:t>
      </w:r>
      <w:r>
        <w:t xml:space="preserve">электронная</w:t>
      </w:r>
      <w:r>
        <w:rPr>
          <w:spacing w:val="-1"/>
        </w:rPr>
        <w:t xml:space="preserve"> </w:t>
      </w:r>
      <w:r>
        <w:t xml:space="preserve">подпись).</w:t>
      </w:r>
      <w:r/>
    </w:p>
    <w:p>
      <w:pPr>
        <w:pStyle w:val="627"/>
        <w:ind w:right="371" w:firstLine="720"/>
        <w:jc w:val="both"/>
        <w:spacing w:before="1"/>
        <w:suppressLineNumbers w:val="0"/>
      </w:pPr>
      <w:r>
        <w:t xml:space="preserve">Заявление о выдаче разрешения на ввод объекта в эксплуатацию и</w:t>
      </w:r>
      <w:r>
        <w:rPr>
          <w:spacing w:val="1"/>
        </w:rPr>
        <w:t xml:space="preserve"> </w:t>
      </w:r>
      <w:r>
        <w:t xml:space="preserve">прилагаемые к н</w:t>
      </w:r>
      <w:r>
        <w:t xml:space="preserve">е</w:t>
      </w:r>
      <w:r>
        <w:t xml:space="preserve">му документы направляются в уполномоченный в соответствии</w:t>
      </w:r>
      <w:r>
        <w:rPr>
          <w:spacing w:val="-67"/>
        </w:rPr>
        <w:t xml:space="preserve"> </w:t>
      </w:r>
      <w:r>
        <w:t xml:space="preserve">со статьей</w:t>
      </w:r>
      <w:r>
        <w:rPr>
          <w:spacing w:val="1"/>
        </w:rPr>
        <w:t xml:space="preserve"> </w:t>
      </w:r>
      <w:r>
        <w:t xml:space="preserve">55 Градостро</w:t>
      </w:r>
      <w:r>
        <w:t xml:space="preserve">и</w:t>
      </w:r>
      <w:r>
        <w:t xml:space="preserve">тельного кодекса Российской Федерации на выдачу</w:t>
      </w:r>
      <w:r>
        <w:rPr>
          <w:spacing w:val="1"/>
        </w:rPr>
        <w:t xml:space="preserve"> </w:t>
      </w:r>
      <w:r>
        <w:t xml:space="preserve">разрешения на ввод объекта в эксплу</w:t>
      </w:r>
      <w:r>
        <w:t xml:space="preserve">а</w:t>
      </w:r>
      <w:r>
        <w:t xml:space="preserve">тацию орган</w:t>
      </w:r>
      <w:r>
        <w:rPr>
          <w:spacing w:val="-8"/>
        </w:rPr>
        <w:t xml:space="preserve"> </w:t>
      </w:r>
      <w:r>
        <w:t xml:space="preserve">местного</w:t>
      </w:r>
      <w:r>
        <w:rPr>
          <w:spacing w:val="-8"/>
        </w:rPr>
        <w:t xml:space="preserve"> </w:t>
      </w:r>
      <w:r>
        <w:t xml:space="preserve">самоуправления</w:t>
      </w:r>
      <w:r>
        <w:rPr>
          <w:spacing w:val="-8"/>
        </w:rPr>
        <w:t xml:space="preserve"> </w:t>
      </w:r>
      <w:r>
        <w:t xml:space="preserve">исключительно</w:t>
      </w:r>
      <w:r>
        <w:rPr>
          <w:spacing w:val="-67"/>
        </w:rPr>
        <w:t xml:space="preserve"> </w:t>
      </w:r>
      <w:r>
        <w:t xml:space="preserve">в электронной форме в случаях, у</w:t>
      </w:r>
      <w:r>
        <w:t xml:space="preserve">с</w:t>
      </w:r>
      <w:r>
        <w:t xml:space="preserve">тановленных но</w:t>
      </w:r>
      <w:r>
        <w:t xml:space="preserve">р</w:t>
      </w:r>
      <w:r>
        <w:t xml:space="preserve">мативным правовым актом</w:t>
      </w:r>
      <w:r>
        <w:rPr>
          <w:spacing w:val="1"/>
        </w:rPr>
        <w:t xml:space="preserve"> </w:t>
      </w:r>
      <w:r>
        <w:t xml:space="preserve">субъекта</w:t>
      </w:r>
      <w:r>
        <w:rPr>
          <w:spacing w:val="-2"/>
        </w:rPr>
        <w:t xml:space="preserve"> </w:t>
      </w:r>
      <w:r>
        <w:t xml:space="preserve">Российской Федерации.</w:t>
      </w:r>
      <w:r/>
    </w:p>
    <w:p>
      <w:pPr>
        <w:pStyle w:val="627"/>
        <w:ind w:right="330" w:firstLine="720"/>
        <w:jc w:val="both"/>
        <w:suppressLineNumbers w:val="0"/>
      </w:pPr>
      <w:r>
        <w:t xml:space="preserve">В целях предоставления услуги заявителю или его представителю</w:t>
      </w:r>
      <w:r>
        <w:rPr>
          <w:spacing w:val="1"/>
        </w:rPr>
        <w:t xml:space="preserve"> </w:t>
      </w:r>
      <w:r>
        <w:t xml:space="preserve">обеспечивается в мн</w:t>
      </w:r>
      <w:r>
        <w:t xml:space="preserve">о</w:t>
      </w:r>
      <w:r>
        <w:t xml:space="preserve">гофункциональном центре доступ к Единому порталу в соответствии с постановлением Правительства</w:t>
      </w:r>
      <w:r>
        <w:rPr>
          <w:spacing w:val="1"/>
        </w:rPr>
        <w:t xml:space="preserve"> </w:t>
      </w:r>
      <w:r>
        <w:t xml:space="preserve">Российской</w:t>
      </w:r>
      <w:r>
        <w:rPr>
          <w:spacing w:val="-3"/>
        </w:rPr>
        <w:t xml:space="preserve"> </w:t>
      </w:r>
      <w:r>
        <w:t xml:space="preserve">Федерации</w:t>
      </w:r>
      <w:r>
        <w:rPr>
          <w:spacing w:val="-3"/>
        </w:rPr>
        <w:t xml:space="preserve"> </w:t>
      </w:r>
      <w:r>
        <w:t xml:space="preserve">от</w:t>
      </w:r>
      <w:r>
        <w:rPr>
          <w:spacing w:val="35"/>
        </w:rPr>
        <w:t xml:space="preserve"> </w:t>
      </w:r>
      <w:r>
        <w:t xml:space="preserve">22</w:t>
      </w:r>
      <w:r>
        <w:rPr>
          <w:spacing w:val="-3"/>
        </w:rPr>
        <w:t xml:space="preserve"> </w:t>
      </w:r>
      <w:r>
        <w:t xml:space="preserve">декабря</w:t>
      </w:r>
      <w:r>
        <w:rPr>
          <w:spacing w:val="36"/>
        </w:rPr>
        <w:t xml:space="preserve"> </w:t>
      </w:r>
      <w:r>
        <w:t xml:space="preserve">2012</w:t>
      </w:r>
      <w:r>
        <w:rPr>
          <w:spacing w:val="-2"/>
        </w:rPr>
        <w:t xml:space="preserve"> </w:t>
      </w:r>
      <w:r>
        <w:t xml:space="preserve">года</w:t>
      </w:r>
      <w:r>
        <w:rPr>
          <w:spacing w:val="-3"/>
        </w:rPr>
        <w:t xml:space="preserve"> </w:t>
      </w:r>
      <w:r>
        <w:t xml:space="preserve">№</w:t>
      </w:r>
      <w:r>
        <w:t xml:space="preserve">1376</w:t>
      </w:r>
      <w:r>
        <w:rPr>
          <w:spacing w:val="36"/>
        </w:rPr>
        <w:t xml:space="preserve"> </w:t>
      </w:r>
      <w:r>
        <w:t xml:space="preserve">«Об</w:t>
      </w:r>
      <w:r>
        <w:rPr>
          <w:spacing w:val="-2"/>
        </w:rPr>
        <w:t xml:space="preserve"> </w:t>
      </w:r>
      <w:r>
        <w:t xml:space="preserve">утверждении</w:t>
      </w:r>
      <w:r>
        <w:rPr>
          <w:spacing w:val="-3"/>
        </w:rPr>
        <w:t xml:space="preserve"> </w:t>
      </w:r>
      <w:r>
        <w:t xml:space="preserve">Пр</w:t>
      </w:r>
      <w:r>
        <w:t xml:space="preserve">а</w:t>
      </w:r>
      <w:r>
        <w:t xml:space="preserve">вил</w:t>
      </w:r>
      <w:r>
        <w:rPr>
          <w:spacing w:val="-67"/>
        </w:rPr>
        <w:t xml:space="preserve"> </w:t>
      </w:r>
      <w:r>
        <w:t xml:space="preserve">организации деятельности многофункциональных центров предоставления</w:t>
      </w:r>
      <w:r>
        <w:rPr>
          <w:spacing w:val="1"/>
        </w:rPr>
        <w:t xml:space="preserve"> </w:t>
      </w:r>
      <w:r>
        <w:t xml:space="preserve">государс</w:t>
      </w:r>
      <w:r>
        <w:t xml:space="preserve">т</w:t>
      </w:r>
      <w:r>
        <w:t xml:space="preserve">венных</w:t>
      </w:r>
      <w:r>
        <w:rPr>
          <w:spacing w:val="-1"/>
        </w:rPr>
        <w:t xml:space="preserve"> </w:t>
      </w:r>
      <w:r>
        <w:t xml:space="preserve">и муниц</w:t>
      </w:r>
      <w:r>
        <w:t xml:space="preserve">и</w:t>
      </w:r>
      <w:r>
        <w:t xml:space="preserve">пальных</w:t>
      </w:r>
      <w:r>
        <w:rPr>
          <w:spacing w:val="-2"/>
        </w:rPr>
        <w:t xml:space="preserve"> </w:t>
      </w:r>
      <w:r>
        <w:t xml:space="preserve">услуг».»</w:t>
      </w:r>
      <w:r/>
    </w:p>
    <w:p>
      <w:pPr>
        <w:pStyle w:val="621"/>
        <w:ind w:firstLine="720"/>
        <w:jc w:val="both"/>
        <w:suppressLineNumbers w:val="0"/>
      </w:pPr>
      <w:r>
        <w:t xml:space="preserve">1.</w:t>
      </w:r>
      <w:r>
        <w:t xml:space="preserve">3</w:t>
      </w:r>
      <w:r>
        <w:t xml:space="preserve">. </w:t>
      </w:r>
      <w:r>
        <w:t xml:space="preserve">Пункт 2.8</w:t>
      </w:r>
      <w:r>
        <w:t xml:space="preserve"> </w:t>
      </w:r>
      <w:r>
        <w:t xml:space="preserve">изложить в новой редакции:</w:t>
      </w:r>
      <w:r/>
    </w:p>
    <w:p>
      <w:pPr>
        <w:pStyle w:val="621"/>
        <w:ind w:firstLine="720"/>
        <w:jc w:val="both"/>
        <w:suppressLineNumbers w:val="0"/>
      </w:pPr>
      <w:r>
        <w:t xml:space="preserve">«</w:t>
      </w:r>
      <w:r>
        <w:t xml:space="preserve">2.8. Исчерпывающий перечень документов, необходимых для предоставления услуги, по</w:t>
      </w:r>
      <w:r>
        <w:t xml:space="preserve">д</w:t>
      </w:r>
      <w:r>
        <w:t xml:space="preserve">лежащих представлению заявителем самостоятельно:</w:t>
      </w:r>
      <w:r/>
    </w:p>
    <w:p>
      <w:pPr>
        <w:pStyle w:val="621"/>
        <w:ind w:firstLine="720"/>
        <w:jc w:val="both"/>
        <w:suppressLineNumbers w:val="0"/>
      </w:pPr>
      <w:r>
        <w:t xml:space="preserve">а) заявление о выдаче разрешения на ввод объекта в эксплуатацию. В случае представл</w:t>
      </w:r>
      <w:r>
        <w:t xml:space="preserve">е</w:t>
      </w:r>
      <w:r>
        <w:t xml:space="preserve">ния заявления о выдаче разрешения на ввод объекта в эксплуатацию в электронной форме п</w:t>
      </w:r>
      <w:r>
        <w:t xml:space="preserve">о</w:t>
      </w:r>
      <w:r>
        <w:t xml:space="preserve">средством Единого портала в соответствии с подпунктом «а» пункта 2.4. настоящего Админис</w:t>
      </w:r>
      <w:r>
        <w:t xml:space="preserve">т</w:t>
      </w:r>
      <w:r>
        <w:t xml:space="preserve">ративного регламента указанное заявление заполняется путем внесения соответствующих св</w:t>
      </w:r>
      <w:r>
        <w:t xml:space="preserve">е</w:t>
      </w:r>
      <w:r>
        <w:t xml:space="preserve">дений в интеракти</w:t>
      </w:r>
      <w:r>
        <w:t xml:space="preserve">в</w:t>
      </w:r>
      <w:r>
        <w:t xml:space="preserve">ную форму на Едином портале</w:t>
      </w:r>
      <w:r>
        <w:t xml:space="preserve">;</w:t>
      </w:r>
      <w:r/>
    </w:p>
    <w:p>
      <w:pPr>
        <w:pStyle w:val="621"/>
        <w:ind w:firstLine="720"/>
        <w:jc w:val="both"/>
        <w:suppressLineNumbers w:val="0"/>
      </w:pPr>
      <w:r>
        <w:t xml:space="preserve">б) технический план объекта капитального строительства, подготовленный в соответс</w:t>
      </w:r>
      <w:r>
        <w:t xml:space="preserve">т</w:t>
      </w:r>
      <w:r>
        <w:t xml:space="preserve">вии с Федеральным законом от 13 июля 2015 года №218-ФЗ «О государственной регистрации недвиж</w:t>
      </w:r>
      <w:r>
        <w:t xml:space="preserve">и</w:t>
      </w:r>
      <w:r>
        <w:t xml:space="preserve">мости»</w:t>
      </w:r>
      <w:r>
        <w:t xml:space="preserve">».</w:t>
      </w:r>
      <w:r/>
    </w:p>
    <w:p>
      <w:pPr>
        <w:pStyle w:val="621"/>
        <w:ind w:firstLine="720"/>
        <w:jc w:val="both"/>
        <w:suppressLineNumbers w:val="0"/>
      </w:pPr>
      <w:r>
        <w:t xml:space="preserve">1.</w:t>
      </w:r>
      <w:r>
        <w:t xml:space="preserve">4</w:t>
      </w:r>
      <w:r>
        <w:t xml:space="preserve">. Пункт 2.9 </w:t>
      </w:r>
      <w:r>
        <w:t xml:space="preserve"> изложить в новой редакции:</w:t>
      </w:r>
      <w:r/>
    </w:p>
    <w:p>
      <w:pPr>
        <w:pStyle w:val="621"/>
        <w:ind w:firstLine="720"/>
        <w:jc w:val="both"/>
        <w:suppressLineNumbers w:val="0"/>
      </w:pPr>
      <w:r>
        <w:t xml:space="preserve">«2.9. Исчерпывающий перечень необходимых для предоставления услуги документов (их копии или сведений, содержащиеся в них), которые запрашиваются уполномоченным органом м</w:t>
      </w:r>
      <w:r>
        <w:t xml:space="preserve">е</w:t>
      </w:r>
      <w:r>
        <w:t xml:space="preserve">стного самоуправления в порядке межведомственного информационного взаимодействия 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</w:t>
      </w:r>
      <w:r>
        <w:t xml:space="preserve">т</w:t>
      </w:r>
      <w:r>
        <w:t xml:space="preserve">вия), в государственных органах, органах местного самоуправления и подведомственных гос</w:t>
      </w:r>
      <w:r>
        <w:t xml:space="preserve">у</w:t>
      </w:r>
      <w:r>
        <w:t xml:space="preserve">дарственным о</w:t>
      </w:r>
      <w:r>
        <w:t xml:space="preserve">р</w:t>
      </w:r>
      <w:r>
        <w:t xml:space="preserve">ганам или органам местного самоуправления организациях, в рас</w:t>
      </w:r>
      <w:r>
        <w:t xml:space="preserve">поряжении  которых находятся указанные документы, и которые заявитель вправе представить по собстве</w:t>
      </w:r>
      <w:r>
        <w:t xml:space="preserve">н</w:t>
      </w:r>
      <w:r>
        <w:t xml:space="preserve">ной инициативе:</w:t>
      </w:r>
      <w:r/>
    </w:p>
    <w:p>
      <w:pPr>
        <w:pStyle w:val="621"/>
        <w:ind w:firstLine="720"/>
        <w:jc w:val="both"/>
        <w:suppressLineNumbers w:val="0"/>
      </w:pPr>
      <w:r>
        <w:t xml:space="preserve">а) правоустанавливающие документы на земельный участок, в том числе соглашение об установлении сервитута, решение об установлении публичного сервитута;</w:t>
      </w:r>
      <w:r/>
    </w:p>
    <w:p>
      <w:pPr>
        <w:pStyle w:val="621"/>
        <w:ind w:firstLine="720"/>
        <w:jc w:val="both"/>
        <w:suppressLineNumbers w:val="0"/>
      </w:pPr>
      <w:r>
        <w:t xml:space="preserve">б) разрешение на строительство;</w:t>
      </w:r>
      <w:r/>
    </w:p>
    <w:p>
      <w:pPr>
        <w:pStyle w:val="621"/>
        <w:ind w:firstLine="720"/>
        <w:jc w:val="both"/>
        <w:suppressLineNumbers w:val="0"/>
      </w:pPr>
      <w:r>
        <w:t xml:space="preserve">в) акт о подключении (технологическом присоединении) построенного, реконструир</w:t>
      </w:r>
      <w:r>
        <w:t xml:space="preserve">о</w:t>
      </w:r>
      <w:r>
        <w:t xml:space="preserve">ванного объекта капитального строительства к сетям инженерно-технического обеспечения (в случае, если такое подключение (технологическое присоединение) этого объекта предусмотрено проектной д</w:t>
      </w:r>
      <w:r>
        <w:t xml:space="preserve">о</w:t>
      </w:r>
      <w:r>
        <w:t xml:space="preserve">кументацией);</w:t>
      </w:r>
      <w:r/>
    </w:p>
    <w:p>
      <w:pPr>
        <w:pStyle w:val="621"/>
        <w:ind w:firstLine="720"/>
        <w:jc w:val="both"/>
        <w:suppressLineNumbers w:val="0"/>
      </w:pPr>
      <w:r>
        <w:t xml:space="preserve">г) схема, отображающая расположение построенного, реконструированного объекта к</w:t>
      </w:r>
      <w:r>
        <w:t xml:space="preserve">а</w:t>
      </w:r>
      <w:r>
        <w:t xml:space="preserve">питального строительства, расположение сетей инженерно-технического обеспечения в гран</w:t>
      </w:r>
      <w:r>
        <w:t xml:space="preserve">и</w:t>
      </w:r>
      <w:r>
        <w:t xml:space="preserve">цах земельного участка и планировочную организацию земельного участка и подписанная л</w:t>
      </w:r>
      <w:r>
        <w:t xml:space="preserve">и</w:t>
      </w:r>
      <w:r>
        <w:t xml:space="preserve">цом, осущ</w:t>
      </w:r>
      <w:r>
        <w:t xml:space="preserve">е</w:t>
      </w:r>
      <w:r>
        <w:t xml:space="preserve">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</w:t>
      </w:r>
      <w:r>
        <w:t xml:space="preserve">а</w:t>
      </w:r>
      <w:r>
        <w:t xml:space="preserve">нии договора строительного подряда), за исключением случаев строительства, реконструкции линейного объекта;</w:t>
      </w:r>
      <w:r/>
    </w:p>
    <w:p>
      <w:pPr>
        <w:pStyle w:val="621"/>
        <w:ind w:firstLine="720"/>
        <w:jc w:val="both"/>
        <w:suppressLineNumbers w:val="0"/>
      </w:pPr>
      <w:r>
        <w:t xml:space="preserve">д) заключение органа государственного строительного надзора (в случае, если пред</w:t>
      </w:r>
      <w:r>
        <w:t xml:space="preserve">у</w:t>
      </w:r>
      <w:r>
        <w:t xml:space="preserve">смотр</w:t>
      </w:r>
      <w:r>
        <w:t xml:space="preserve">е</w:t>
      </w:r>
      <w:r>
        <w:t xml:space="preserve">но осуществление государственного строительного надзора в соответствии с частью 1 статьи 54 Градостроительного кодекса Российской Федерации) о соответствии построенного, реконструир</w:t>
      </w:r>
      <w:r>
        <w:t xml:space="preserve">о</w:t>
      </w:r>
      <w:r>
        <w:t xml:space="preserve">ванного объекта капитального строительства указанным в пункте 1 части 5 статьи 49 Градостро</w:t>
      </w:r>
      <w:r>
        <w:t xml:space="preserve">и</w:t>
      </w:r>
      <w:r>
        <w:t xml:space="preserve">тельного кодекса Российской Федерации требованиям проектной документации (</w:t>
      </w:r>
      <w:r>
        <w:t xml:space="preserve">в том числе с учетом изменений, внесенных в рабочую документацию и являющихся в соотве</w:t>
      </w:r>
      <w:r>
        <w:t xml:space="preserve">т</w:t>
      </w:r>
      <w:r>
        <w:t xml:space="preserve">ствии с частью 1.3 статьи 52 Градостроительного кодекса Российской Федерации частью такой проектной документации), заключение уполномоченного на осуществление федерального гос</w:t>
      </w:r>
      <w:r>
        <w:t xml:space="preserve">у</w:t>
      </w:r>
      <w:r>
        <w:t xml:space="preserve">дарственного экологич</w:t>
      </w:r>
      <w:r>
        <w:t xml:space="preserve">е</w:t>
      </w:r>
      <w:r>
        <w:t xml:space="preserve">ского надзора федерального орана исполнительной власти, выдаваемое в случаях, предусмотренных частью 5 статьи 54 Градостроительного кодекса Российской Фед</w:t>
      </w:r>
      <w:r>
        <w:t xml:space="preserve">е</w:t>
      </w:r>
      <w:r>
        <w:t xml:space="preserve">рации;</w:t>
      </w:r>
      <w:r/>
    </w:p>
    <w:p>
      <w:pPr>
        <w:pStyle w:val="621"/>
        <w:ind w:firstLine="720"/>
        <w:jc w:val="both"/>
        <w:suppressLineNumbers w:val="0"/>
      </w:pPr>
      <w:r>
        <w:t xml:space="preserve">е) акт приемки выполненных работ по сохранению объекта культурного наследия</w:t>
      </w:r>
      <w:r>
        <w:t xml:space="preserve">, у</w:t>
      </w:r>
      <w:r>
        <w:t xml:space="preserve">т</w:t>
      </w:r>
      <w:r>
        <w:t xml:space="preserve">вержденный соответствующим органом охраны объектов культурного наследия, определенным Федеральным законом от 25 июня 2002 года №73-ФЗ «Об объектах культурного наследия (</w:t>
      </w:r>
      <w:r>
        <w:t xml:space="preserve"> </w:t>
      </w:r>
      <w:r>
        <w:t xml:space="preserve">п</w:t>
      </w:r>
      <w:r>
        <w:t xml:space="preserve">а</w:t>
      </w:r>
      <w:r>
        <w:t xml:space="preserve">мятниках истории и культуры) народов Российской Федерации», при проведении реставрации, консервации, ремонта этого объекта и его приспособления для современного использования.»</w:t>
      </w:r>
      <w:r>
        <w:t xml:space="preserve">.</w:t>
      </w:r>
      <w:r/>
    </w:p>
    <w:p>
      <w:pPr>
        <w:pStyle w:val="621"/>
        <w:ind w:firstLine="720"/>
        <w:jc w:val="both"/>
        <w:suppressLineNumbers w:val="0"/>
      </w:pPr>
      <w:r>
        <w:t xml:space="preserve">1.</w:t>
      </w:r>
      <w:r>
        <w:t xml:space="preserve">5</w:t>
      </w:r>
      <w:r>
        <w:t xml:space="preserve">. Пункт 2.10. </w:t>
      </w:r>
      <w:r>
        <w:t xml:space="preserve">изложить в новой редакции:</w:t>
      </w:r>
      <w:r/>
    </w:p>
    <w:p>
      <w:pPr>
        <w:pStyle w:val="621"/>
        <w:ind w:firstLine="720"/>
        <w:jc w:val="both"/>
        <w:suppressLineNumbers w:val="0"/>
      </w:pPr>
      <w:r>
        <w:t xml:space="preserve">«2.10. Документы указанные в подпунктах «а», «е»-«ж» пункта 2.9. настоящего Админ</w:t>
      </w:r>
      <w:r>
        <w:t xml:space="preserve">и</w:t>
      </w:r>
      <w:r>
        <w:t xml:space="preserve">стр</w:t>
      </w:r>
      <w:r>
        <w:t xml:space="preserve">а</w:t>
      </w:r>
      <w:r>
        <w:t xml:space="preserve">тивного регламента, направляются заявителем самостоятельно, если указанные документы (их копии или сведения, содержащиеся в них)</w:t>
      </w:r>
      <w:r>
        <w:t xml:space="preserve"> отсутствуют в распоряжении органов государс</w:t>
      </w:r>
      <w:r>
        <w:t xml:space="preserve">т</w:t>
      </w:r>
      <w:r>
        <w:t xml:space="preserve">венной власти, органов местного самоуправления либо подведомственных государственным о</w:t>
      </w:r>
      <w:r>
        <w:t xml:space="preserve">р</w:t>
      </w:r>
      <w:r>
        <w:t xml:space="preserve">ганам или о</w:t>
      </w:r>
      <w:r>
        <w:t xml:space="preserve">р</w:t>
      </w:r>
      <w:r>
        <w:t xml:space="preserve">ганам местного самоуправления организаций.».</w:t>
      </w:r>
      <w:r>
        <w:t xml:space="preserve"> </w:t>
      </w:r>
      <w:r/>
    </w:p>
    <w:p>
      <w:pPr>
        <w:pStyle w:val="621"/>
        <w:ind w:firstLine="720"/>
        <w:jc w:val="both"/>
        <w:suppressLineNumbers w:val="0"/>
      </w:pPr>
      <w:r>
        <w:t xml:space="preserve">1.</w:t>
      </w:r>
      <w:r>
        <w:t xml:space="preserve">6</w:t>
      </w:r>
      <w:r>
        <w:t xml:space="preserve">. Пункт 2.11 </w:t>
      </w:r>
      <w:r>
        <w:t xml:space="preserve"> изложить в новой редакции:</w:t>
      </w:r>
      <w:r/>
    </w:p>
    <w:p>
      <w:pPr>
        <w:pStyle w:val="621"/>
        <w:ind w:firstLine="720"/>
        <w:jc w:val="both"/>
        <w:suppressLineNumbers w:val="0"/>
      </w:pPr>
      <w:r>
        <w:t xml:space="preserve">«2.11.В случае представления заявления о выдаче разрешения на ввод объекта в эксплу</w:t>
      </w:r>
      <w:r>
        <w:t xml:space="preserve">а</w:t>
      </w:r>
      <w:r>
        <w:t xml:space="preserve">тацию в отношении этапа строительства, реконструкции объекта капитального строительства, документы, указанные в подпунктах «е»-«з» пункта 2.9. настоящего Административного регл</w:t>
      </w:r>
      <w:r>
        <w:t xml:space="preserve">а</w:t>
      </w:r>
      <w:r>
        <w:t xml:space="preserve">мента, оформляются в части, относящейся к соответствующему этапу строительства, реконс</w:t>
      </w:r>
      <w:r>
        <w:t xml:space="preserve">т</w:t>
      </w:r>
      <w:r>
        <w:t xml:space="preserve">рукции объекта капитального строительства. В указанном случае в заявлении о выдаче разр</w:t>
      </w:r>
      <w:r>
        <w:t xml:space="preserve">е</w:t>
      </w:r>
      <w:r>
        <w:t xml:space="preserve">шения на ввод объекта в эксплуатацию в отношении этапа строительства, реконструкции объе</w:t>
      </w:r>
      <w:r>
        <w:t xml:space="preserve">к</w:t>
      </w:r>
      <w:r>
        <w:t xml:space="preserve">та капитального строительства указываются сведения о ранее выданных разрешениях на ввод объекта в эксплуат</w:t>
      </w:r>
      <w:r>
        <w:t xml:space="preserve">а</w:t>
      </w:r>
      <w:r>
        <w:t xml:space="preserve">цию в отношении этапа строительства, реконструкции объекта капитального строительства (при н</w:t>
      </w:r>
      <w:r>
        <w:t xml:space="preserve">а</w:t>
      </w:r>
      <w:r>
        <w:t xml:space="preserve">личии).». </w:t>
      </w:r>
      <w:r/>
    </w:p>
    <w:p>
      <w:pPr>
        <w:pStyle w:val="621"/>
        <w:ind w:firstLine="720"/>
        <w:jc w:val="both"/>
        <w:suppressLineNumbers w:val="0"/>
      </w:pPr>
      <w:r>
        <w:t xml:space="preserve">1.</w:t>
      </w:r>
      <w:r>
        <w:t xml:space="preserve">7</w:t>
      </w:r>
      <w:r>
        <w:t xml:space="preserve">. Подпункт </w:t>
      </w:r>
      <w:r>
        <w:t xml:space="preserve">«в»</w:t>
      </w:r>
      <w:r>
        <w:t xml:space="preserve"> пункта</w:t>
      </w:r>
      <w:r>
        <w:t xml:space="preserve"> 2.16 </w:t>
      </w:r>
      <w:r>
        <w:t xml:space="preserve">изложить в новой редакции:</w:t>
      </w:r>
      <w:r/>
    </w:p>
    <w:p>
      <w:pPr>
        <w:pStyle w:val="621"/>
        <w:ind w:firstLine="720"/>
        <w:jc w:val="both"/>
        <w:suppressLineNumbers w:val="0"/>
      </w:pPr>
      <w:r>
        <w:t xml:space="preserve">«в) непредставление документа, предусмотренного подпунктом «а» пункта 2.8. насто</w:t>
      </w:r>
      <w:r>
        <w:t xml:space="preserve">я</w:t>
      </w:r>
      <w:r>
        <w:t xml:space="preserve">щего Администрат</w:t>
      </w:r>
      <w:r>
        <w:t xml:space="preserve">ивного регламента;</w:t>
      </w:r>
      <w:r>
        <w:t xml:space="preserve">».</w:t>
      </w:r>
      <w:r/>
    </w:p>
    <w:p>
      <w:pPr>
        <w:pStyle w:val="621"/>
        <w:ind w:firstLine="720"/>
        <w:jc w:val="both"/>
        <w:suppressLineNumbers w:val="0"/>
      </w:pPr>
      <w:r>
        <w:t xml:space="preserve">1.</w:t>
      </w:r>
      <w:r>
        <w:t xml:space="preserve">8</w:t>
      </w:r>
      <w:r>
        <w:t xml:space="preserve">. Подпункт </w:t>
      </w:r>
      <w:r>
        <w:t xml:space="preserve">«ж» пункта 2.16 </w:t>
      </w:r>
      <w:r>
        <w:t xml:space="preserve">изложить в новой редакции:</w:t>
      </w:r>
      <w:r/>
    </w:p>
    <w:p>
      <w:pPr>
        <w:pStyle w:val="621"/>
        <w:ind w:firstLine="720"/>
        <w:jc w:val="both"/>
        <w:suppressLineNumbers w:val="0"/>
      </w:pPr>
      <w:r>
        <w:t xml:space="preserve">«ж) заявление о выдаче разрешения на ввод объекта в эксплуатацию и документ указа</w:t>
      </w:r>
      <w:r>
        <w:t xml:space="preserve">н</w:t>
      </w:r>
      <w:r>
        <w:t xml:space="preserve">ный в подпункте «д»</w:t>
      </w:r>
      <w:r>
        <w:t xml:space="preserve"> </w:t>
      </w:r>
      <w:r>
        <w:t xml:space="preserve"> пункта 2.8 настоящего Административного регламента, представлены в электронной форме с нарушением требований, установленных пунктами 2.5. – 2.7. настоящего Администрати</w:t>
      </w:r>
      <w:r>
        <w:t xml:space="preserve">в</w:t>
      </w:r>
      <w:r>
        <w:t xml:space="preserve">ного регламента;».</w:t>
      </w:r>
      <w:r>
        <w:t xml:space="preserve"> </w:t>
      </w:r>
      <w:r/>
    </w:p>
    <w:p>
      <w:pPr>
        <w:pStyle w:val="621"/>
        <w:ind w:firstLine="720"/>
        <w:jc w:val="both"/>
        <w:suppressLineNumbers w:val="0"/>
      </w:pPr>
      <w:r>
        <w:t xml:space="preserve">1.</w:t>
      </w:r>
      <w:r>
        <w:t xml:space="preserve">9</w:t>
      </w:r>
      <w:r>
        <w:t xml:space="preserve">. Подпункт </w:t>
      </w:r>
      <w:r>
        <w:t xml:space="preserve">«а» пункта 2.22 </w:t>
      </w:r>
      <w:r>
        <w:t xml:space="preserve"> изложить в новой редакции:</w:t>
      </w:r>
      <w:r/>
    </w:p>
    <w:p>
      <w:pPr>
        <w:pStyle w:val="621"/>
        <w:ind w:firstLine="720"/>
        <w:jc w:val="both"/>
        <w:suppressLineNumbers w:val="0"/>
      </w:pPr>
      <w:r>
        <w:t xml:space="preserve">«а) отсутствие документа, предусмотренного подпунктом «д» пункта 2.8, пунктом 2.9. настоящего Административного регламента;».</w:t>
      </w:r>
      <w:r/>
    </w:p>
    <w:p>
      <w:pPr>
        <w:pStyle w:val="621"/>
        <w:ind w:firstLine="720"/>
        <w:jc w:val="both"/>
        <w:suppressLineNumbers w:val="0"/>
      </w:pPr>
      <w:r>
        <w:t xml:space="preserve">1.</w:t>
      </w:r>
      <w:r>
        <w:t xml:space="preserve">10</w:t>
      </w:r>
      <w:r>
        <w:t xml:space="preserve">. Подпункт </w:t>
      </w:r>
      <w:r>
        <w:t xml:space="preserve">«а» пункта 3.3 </w:t>
      </w:r>
      <w:r>
        <w:t xml:space="preserve"> изложить в новой редакции:</w:t>
      </w:r>
      <w:r/>
    </w:p>
    <w:p>
      <w:pPr>
        <w:pStyle w:val="621"/>
        <w:ind w:firstLine="720"/>
        <w:jc w:val="both"/>
        <w:suppressLineNumbers w:val="0"/>
      </w:pPr>
      <w:r>
        <w:t xml:space="preserve">«а) возможность копирования и сохранения заявления о выдаче разрешения на ввод об</w:t>
      </w:r>
      <w:r>
        <w:t xml:space="preserve">ъ</w:t>
      </w:r>
      <w:r>
        <w:t xml:space="preserve">екта </w:t>
      </w:r>
      <w:r>
        <w:t xml:space="preserve">в эксплуатацию и иных документов, указанных в подпункте «д» пункта 2.8., пункте 2.9. н</w:t>
      </w:r>
      <w:r>
        <w:t xml:space="preserve">а</w:t>
      </w:r>
      <w:r>
        <w:t xml:space="preserve">стоящего Административного регламента, необходимых для предоставления услуги</w:t>
      </w:r>
      <w:r>
        <w:t xml:space="preserve">;».</w:t>
      </w:r>
      <w:r/>
    </w:p>
    <w:p>
      <w:pPr>
        <w:pStyle w:val="621"/>
        <w:ind w:firstLine="720"/>
        <w:jc w:val="both"/>
        <w:spacing w:before="0" w:beforeAutospacing="0"/>
        <w:suppressLineNumbers w:val="0"/>
      </w:pPr>
      <w:r>
        <w:t xml:space="preserve">1</w:t>
      </w:r>
      <w:r>
        <w:t xml:space="preserve">.1</w:t>
      </w:r>
      <w:r>
        <w:t xml:space="preserve">1</w:t>
      </w:r>
      <w:r>
        <w:t xml:space="preserve">. </w:t>
      </w:r>
      <w:r>
        <w:t xml:space="preserve">В </w:t>
      </w:r>
      <w:r>
        <w:t xml:space="preserve">Приложение 2 к Административному регламенту</w:t>
      </w:r>
      <w:r>
        <w:t xml:space="preserve"> строки</w:t>
      </w:r>
      <w:r>
        <w:t xml:space="preserve"> 3, 4 и 8</w:t>
      </w:r>
      <w:r>
        <w:t xml:space="preserve"> </w:t>
      </w:r>
      <w:r>
        <w:t xml:space="preserve">изложить в новой р</w:t>
      </w:r>
      <w:r>
        <w:t xml:space="preserve">е</w:t>
      </w:r>
      <w:r>
        <w:t xml:space="preserve">дакции:</w:t>
      </w:r>
      <w:r/>
    </w:p>
    <w:p>
      <w:pPr>
        <w:pStyle w:val="621"/>
        <w:spacing w:before="0" w:beforeAutospacing="0"/>
      </w:pPr>
      <w:r>
        <w:t xml:space="preserve">«</w:t>
      </w:r>
      <w:r/>
    </w:p>
    <w:tbl>
      <w:tblPr>
        <w:tblW w:w="0" w:type="auto"/>
        <w:tblInd w:w="1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0" w:type="dxa"/>
          <w:top w:w="0" w:type="dxa"/>
          <w:right w:w="0" w:type="dxa"/>
          <w:bottom w:w="0" w:type="dxa"/>
        </w:tblCellMar>
        <w:tblLook w:val="01E0" w:firstRow="1" w:lastRow="1" w:firstColumn="1" w:lastColumn="1" w:noHBand="0" w:noVBand="0"/>
      </w:tblPr>
      <w:tblGrid>
        <w:gridCol w:w="1277"/>
        <w:gridCol w:w="4544"/>
        <w:gridCol w:w="340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829"/>
        </w:trPr>
        <w:tc>
          <w:tcPr>
            <w:tcW w:w="1277" w:type="dxa"/>
            <w:vAlign w:val="top"/>
            <w:textDirection w:val="lrTb"/>
            <w:noWrap w:val="false"/>
          </w:tcPr>
          <w:p>
            <w:pPr>
              <w:pStyle w:val="636"/>
              <w:ind w:left="57" w:right="57" w:firstLine="0"/>
              <w:spacing w:before="0" w:beforeAutospacing="0"/>
              <w:rPr>
                <w:i w:val="0"/>
                <w:iCs w:val="0"/>
                <w:color w:val="000000" w:themeColor="text1"/>
                <w:sz w:val="24"/>
              </w:rPr>
              <w:suppressLineNumbers w:val="0"/>
            </w:pPr>
            <w:r>
              <w:rPr>
                <w:i w:val="0"/>
                <w:iCs w:val="0"/>
                <w:color w:val="000000" w:themeColor="text1"/>
                <w:sz w:val="24"/>
              </w:rPr>
              <w:t xml:space="preserve">подпункт</w:t>
            </w:r>
            <w:r>
              <w:rPr>
                <w:i w:val="0"/>
                <w:iCs w:val="0"/>
                <w:color w:val="000000" w:themeColor="text1"/>
                <w:spacing w:val="1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pacing w:val="-1"/>
                <w:sz w:val="24"/>
              </w:rPr>
              <w:t xml:space="preserve">"б" пункта</w:t>
            </w:r>
            <w:r>
              <w:rPr>
                <w:i w:val="0"/>
                <w:iCs w:val="0"/>
                <w:color w:val="000000" w:themeColor="text1"/>
                <w:spacing w:val="-57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2.16</w:t>
            </w:r>
            <w:r>
              <w:rPr>
                <w:i w:val="0"/>
                <w:iCs w:val="0"/>
                <w:color w:val="000000" w:themeColor="text1"/>
                <w:sz w:val="24"/>
              </w:rPr>
            </w:r>
          </w:p>
        </w:tc>
        <w:tc>
          <w:tcPr>
            <w:tcW w:w="4544" w:type="dxa"/>
            <w:vAlign w:val="top"/>
            <w:textDirection w:val="lrTb"/>
            <w:noWrap w:val="false"/>
          </w:tcPr>
          <w:p>
            <w:pPr>
              <w:pStyle w:val="636"/>
              <w:ind w:left="57" w:right="57" w:firstLine="0"/>
              <w:spacing w:before="0" w:beforeAutospacing="0"/>
              <w:rPr>
                <w:i w:val="0"/>
                <w:iCs w:val="0"/>
                <w:color w:val="000000" w:themeColor="text1"/>
                <w:sz w:val="24"/>
              </w:rPr>
              <w:suppressLineNumbers w:val="0"/>
            </w:pPr>
            <w:r>
              <w:rPr>
                <w:i w:val="0"/>
                <w:iCs w:val="0"/>
                <w:color w:val="000000" w:themeColor="text1"/>
                <w:sz w:val="24"/>
              </w:rPr>
              <w:t xml:space="preserve">неполное заполнение полей в форме</w:t>
            </w:r>
            <w:r>
              <w:rPr>
                <w:i w:val="0"/>
                <w:iCs w:val="0"/>
                <w:color w:val="000000" w:themeColor="text1"/>
                <w:spacing w:val="1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заявления,</w:t>
            </w:r>
            <w:r>
              <w:rPr>
                <w:i w:val="0"/>
                <w:iCs w:val="0"/>
                <w:color w:val="000000" w:themeColor="text1"/>
                <w:spacing w:val="-3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в</w:t>
            </w:r>
            <w:r>
              <w:rPr>
                <w:i w:val="0"/>
                <w:iCs w:val="0"/>
                <w:color w:val="000000" w:themeColor="text1"/>
                <w:spacing w:val="-4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том</w:t>
            </w:r>
            <w:r>
              <w:rPr>
                <w:i w:val="0"/>
                <w:iCs w:val="0"/>
                <w:color w:val="000000" w:themeColor="text1"/>
                <w:spacing w:val="-3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числе</w:t>
            </w:r>
            <w:r>
              <w:rPr>
                <w:i w:val="0"/>
                <w:iCs w:val="0"/>
                <w:color w:val="000000" w:themeColor="text1"/>
                <w:spacing w:val="-4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в</w:t>
            </w:r>
            <w:r>
              <w:rPr>
                <w:i w:val="0"/>
                <w:iCs w:val="0"/>
                <w:color w:val="000000" w:themeColor="text1"/>
                <w:spacing w:val="-4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интерактивной</w:t>
            </w:r>
            <w:r>
              <w:rPr>
                <w:i w:val="0"/>
                <w:iCs w:val="0"/>
                <w:color w:val="000000" w:themeColor="text1"/>
                <w:spacing w:val="-57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форме заявления на Едином портале</w:t>
            </w:r>
            <w:r>
              <w:rPr>
                <w:i w:val="0"/>
                <w:iCs w:val="0"/>
                <w:color w:val="000000" w:themeColor="text1"/>
                <w:sz w:val="24"/>
              </w:rPr>
            </w:r>
          </w:p>
        </w:tc>
        <w:tc>
          <w:tcPr>
            <w:tcW w:w="3402" w:type="dxa"/>
            <w:vAlign w:val="top"/>
            <w:textDirection w:val="lrTb"/>
            <w:noWrap w:val="false"/>
          </w:tcPr>
          <w:p>
            <w:pPr>
              <w:pStyle w:val="636"/>
              <w:ind w:left="57" w:right="57" w:firstLine="0"/>
              <w:spacing w:before="0" w:beforeAutospacing="0"/>
              <w:rPr>
                <w:i w:val="0"/>
                <w:iCs w:val="0"/>
                <w:color w:val="000000" w:themeColor="text1"/>
                <w:sz w:val="24"/>
              </w:rPr>
              <w:suppressLineNumbers w:val="0"/>
            </w:pPr>
            <w:r>
              <w:rPr>
                <w:i w:val="0"/>
                <w:iCs w:val="0"/>
                <w:color w:val="000000" w:themeColor="text1"/>
                <w:sz w:val="24"/>
              </w:rPr>
              <w:t xml:space="preserve">Указываются</w:t>
            </w:r>
            <w:r>
              <w:rPr>
                <w:i w:val="0"/>
                <w:iCs w:val="0"/>
                <w:color w:val="000000" w:themeColor="text1"/>
                <w:spacing w:val="-6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основания</w:t>
            </w:r>
            <w:r>
              <w:rPr>
                <w:i w:val="0"/>
                <w:iCs w:val="0"/>
                <w:color w:val="000000" w:themeColor="text1"/>
                <w:spacing w:val="-5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такого</w:t>
            </w:r>
            <w:r>
              <w:rPr>
                <w:i w:val="0"/>
                <w:iCs w:val="0"/>
                <w:color w:val="000000" w:themeColor="text1"/>
                <w:spacing w:val="-5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вывода</w:t>
            </w:r>
            <w:r>
              <w:rPr>
                <w:i w:val="0"/>
                <w:iCs w:val="0"/>
                <w:color w:val="000000" w:themeColor="text1"/>
                <w:sz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124"/>
        </w:trPr>
        <w:tc>
          <w:tcPr>
            <w:tcW w:w="1277" w:type="dxa"/>
            <w:vAlign w:val="top"/>
            <w:textDirection w:val="lrTb"/>
            <w:noWrap w:val="false"/>
          </w:tcPr>
          <w:p>
            <w:pPr>
              <w:pStyle w:val="636"/>
              <w:ind w:left="57" w:right="57" w:firstLine="0"/>
              <w:spacing w:before="0" w:beforeAutospacing="0"/>
              <w:rPr>
                <w:i w:val="0"/>
                <w:iCs w:val="0"/>
                <w:color w:val="000000" w:themeColor="text1"/>
                <w:sz w:val="24"/>
              </w:rPr>
              <w:suppressLineNumbers w:val="0"/>
            </w:pPr>
            <w:r>
              <w:rPr>
                <w:i w:val="0"/>
                <w:iCs w:val="0"/>
                <w:color w:val="000000" w:themeColor="text1"/>
                <w:sz w:val="24"/>
              </w:rPr>
              <w:t xml:space="preserve">подпункт</w:t>
            </w:r>
            <w:r>
              <w:rPr>
                <w:i w:val="0"/>
                <w:iCs w:val="0"/>
                <w:color w:val="000000" w:themeColor="text1"/>
                <w:spacing w:val="1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"в"</w:t>
            </w:r>
            <w:r>
              <w:rPr>
                <w:i w:val="0"/>
                <w:iCs w:val="0"/>
                <w:color w:val="000000" w:themeColor="text1"/>
                <w:spacing w:val="-15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пункта</w:t>
            </w:r>
            <w:r>
              <w:rPr>
                <w:i w:val="0"/>
                <w:iCs w:val="0"/>
                <w:color w:val="000000" w:themeColor="text1"/>
                <w:spacing w:val="-57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2.16</w:t>
            </w:r>
            <w:r>
              <w:rPr>
                <w:i w:val="0"/>
                <w:iCs w:val="0"/>
                <w:color w:val="000000" w:themeColor="text1"/>
                <w:sz w:val="24"/>
              </w:rPr>
            </w:r>
          </w:p>
        </w:tc>
        <w:tc>
          <w:tcPr>
            <w:tcW w:w="4544" w:type="dxa"/>
            <w:vAlign w:val="top"/>
            <w:textDirection w:val="lrTb"/>
            <w:noWrap w:val="false"/>
          </w:tcPr>
          <w:p>
            <w:pPr>
              <w:pStyle w:val="636"/>
              <w:ind w:left="57" w:right="57" w:firstLine="0"/>
              <w:spacing w:before="0" w:beforeAutospacing="0"/>
              <w:rPr>
                <w:i w:val="0"/>
                <w:iCs w:val="0"/>
                <w:color w:val="000000" w:themeColor="text1"/>
                <w:sz w:val="24"/>
              </w:rPr>
              <w:suppressLineNumbers w:val="0"/>
            </w:pPr>
            <w:r>
              <w:rPr>
                <w:i w:val="0"/>
                <w:iCs w:val="0"/>
                <w:color w:val="000000" w:themeColor="text1"/>
                <w:sz w:val="24"/>
              </w:rPr>
              <w:t xml:space="preserve">непредставление документов,</w:t>
            </w:r>
            <w:r>
              <w:rPr>
                <w:i w:val="0"/>
                <w:iCs w:val="0"/>
                <w:color w:val="000000" w:themeColor="text1"/>
                <w:spacing w:val="1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пред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у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смотренных</w:t>
            </w:r>
            <w:r>
              <w:rPr>
                <w:i w:val="0"/>
                <w:iCs w:val="0"/>
                <w:color w:val="000000" w:themeColor="text1"/>
                <w:spacing w:val="-6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подпунктом</w:t>
            </w:r>
            <w:r>
              <w:rPr>
                <w:i w:val="0"/>
                <w:iCs w:val="0"/>
                <w:color w:val="000000" w:themeColor="text1"/>
                <w:spacing w:val="-3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"а"</w:t>
            </w:r>
            <w:r>
              <w:rPr>
                <w:i w:val="0"/>
                <w:iCs w:val="0"/>
                <w:color w:val="000000" w:themeColor="text1"/>
                <w:spacing w:val="-7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pacing w:val="-57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пун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к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та 2.8 настоящего</w:t>
            </w:r>
            <w:r>
              <w:rPr>
                <w:i w:val="0"/>
                <w:iCs w:val="0"/>
                <w:color w:val="000000" w:themeColor="text1"/>
                <w:spacing w:val="1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Административного</w:t>
            </w:r>
            <w:r>
              <w:rPr>
                <w:i w:val="0"/>
                <w:iCs w:val="0"/>
                <w:color w:val="000000" w:themeColor="text1"/>
                <w:spacing w:val="-1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регл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а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мента</w:t>
            </w:r>
            <w:r>
              <w:rPr>
                <w:i w:val="0"/>
                <w:iCs w:val="0"/>
                <w:color w:val="000000" w:themeColor="text1"/>
                <w:sz w:val="24"/>
              </w:rPr>
            </w:r>
          </w:p>
        </w:tc>
        <w:tc>
          <w:tcPr>
            <w:tcW w:w="3402" w:type="dxa"/>
            <w:vAlign w:val="top"/>
            <w:textDirection w:val="lrTb"/>
            <w:noWrap w:val="false"/>
          </w:tcPr>
          <w:p>
            <w:pPr>
              <w:pStyle w:val="636"/>
              <w:ind w:left="57" w:right="57" w:firstLine="0"/>
              <w:spacing w:before="0" w:beforeAutospacing="0"/>
              <w:rPr>
                <w:i w:val="0"/>
                <w:iCs w:val="0"/>
                <w:color w:val="000000" w:themeColor="text1"/>
                <w:sz w:val="24"/>
              </w:rPr>
              <w:suppressLineNumbers w:val="0"/>
            </w:pPr>
            <w:r>
              <w:rPr>
                <w:i w:val="0"/>
                <w:iCs w:val="0"/>
                <w:color w:val="000000" w:themeColor="text1"/>
                <w:sz w:val="24"/>
              </w:rPr>
              <w:t xml:space="preserve">Указывается</w:t>
            </w:r>
            <w:r>
              <w:rPr>
                <w:i w:val="0"/>
                <w:iCs w:val="0"/>
                <w:color w:val="000000" w:themeColor="text1"/>
                <w:spacing w:val="-11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исчерпывающий</w:t>
            </w:r>
            <w:r>
              <w:rPr>
                <w:i w:val="0"/>
                <w:iCs w:val="0"/>
                <w:color w:val="000000" w:themeColor="text1"/>
                <w:spacing w:val="-10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перечень</w:t>
            </w:r>
            <w:r>
              <w:rPr>
                <w:i w:val="0"/>
                <w:iCs w:val="0"/>
                <w:color w:val="000000" w:themeColor="text1"/>
                <w:spacing w:val="-57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документов, не представленных</w:t>
            </w:r>
            <w:r>
              <w:rPr>
                <w:i w:val="0"/>
                <w:iCs w:val="0"/>
                <w:color w:val="000000" w:themeColor="text1"/>
                <w:spacing w:val="1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за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я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вителем</w:t>
            </w:r>
            <w:r>
              <w:rPr>
                <w:i w:val="0"/>
                <w:iCs w:val="0"/>
                <w:color w:val="000000" w:themeColor="text1"/>
                <w:sz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258"/>
        </w:trPr>
        <w:tc>
          <w:tcPr>
            <w:tcW w:w="1277" w:type="dxa"/>
            <w:vAlign w:val="top"/>
            <w:textDirection w:val="lrTb"/>
            <w:noWrap w:val="false"/>
          </w:tcPr>
          <w:p>
            <w:pPr>
              <w:pStyle w:val="636"/>
              <w:ind w:left="57" w:right="57" w:firstLine="0"/>
              <w:spacing w:before="0" w:beforeAutospacing="0"/>
              <w:rPr>
                <w:i w:val="0"/>
                <w:iCs w:val="0"/>
                <w:color w:val="000000" w:themeColor="text1"/>
                <w:sz w:val="24"/>
              </w:rPr>
              <w:suppressLineNumbers w:val="0"/>
            </w:pPr>
            <w:r>
              <w:rPr>
                <w:i w:val="0"/>
                <w:iCs w:val="0"/>
                <w:color w:val="000000" w:themeColor="text1"/>
                <w:sz w:val="24"/>
              </w:rPr>
              <w:t xml:space="preserve">подпункт</w:t>
            </w:r>
            <w:r>
              <w:rPr>
                <w:i w:val="0"/>
                <w:iCs w:val="0"/>
                <w:color w:val="000000" w:themeColor="text1"/>
                <w:spacing w:val="1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pacing w:val="-1"/>
                <w:sz w:val="24"/>
              </w:rPr>
              <w:t xml:space="preserve">"ж" пункта</w:t>
            </w:r>
            <w:r>
              <w:rPr>
                <w:i w:val="0"/>
                <w:iCs w:val="0"/>
                <w:color w:val="000000" w:themeColor="text1"/>
                <w:spacing w:val="-57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2.16</w:t>
            </w:r>
            <w:r>
              <w:rPr>
                <w:i w:val="0"/>
                <w:iCs w:val="0"/>
                <w:color w:val="000000" w:themeColor="text1"/>
                <w:sz w:val="24"/>
              </w:rPr>
            </w:r>
          </w:p>
        </w:tc>
        <w:tc>
          <w:tcPr>
            <w:tcW w:w="4544" w:type="dxa"/>
            <w:vAlign w:val="top"/>
            <w:textDirection w:val="lrTb"/>
            <w:noWrap w:val="false"/>
          </w:tcPr>
          <w:p>
            <w:pPr>
              <w:pStyle w:val="636"/>
              <w:ind w:left="57" w:right="57" w:firstLine="0"/>
              <w:spacing w:before="0" w:beforeAutospacing="0"/>
              <w:rPr>
                <w:i w:val="0"/>
                <w:iCs w:val="0"/>
                <w:color w:val="000000" w:themeColor="text1"/>
                <w:sz w:val="24"/>
              </w:rPr>
              <w:suppressLineNumbers w:val="0"/>
            </w:pPr>
            <w:r>
              <w:rPr>
                <w:i w:val="0"/>
                <w:iCs w:val="0"/>
                <w:color w:val="000000" w:themeColor="text1"/>
                <w:sz w:val="24"/>
              </w:rPr>
              <w:t xml:space="preserve">заявление о выдаче разрешения на ввод</w:t>
            </w:r>
            <w:r>
              <w:rPr>
                <w:i w:val="0"/>
                <w:iCs w:val="0"/>
                <w:color w:val="000000" w:themeColor="text1"/>
                <w:spacing w:val="1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объекта в эксплуатацию и документ,</w:t>
            </w:r>
            <w:r>
              <w:rPr>
                <w:i w:val="0"/>
                <w:iCs w:val="0"/>
                <w:color w:val="000000" w:themeColor="text1"/>
                <w:spacing w:val="1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ук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а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занный</w:t>
            </w:r>
            <w:r>
              <w:rPr>
                <w:i w:val="0"/>
                <w:iCs w:val="0"/>
                <w:color w:val="000000" w:themeColor="text1"/>
                <w:spacing w:val="-5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в</w:t>
            </w:r>
            <w:r>
              <w:rPr>
                <w:i w:val="0"/>
                <w:iCs w:val="0"/>
                <w:color w:val="000000" w:themeColor="text1"/>
                <w:spacing w:val="-4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подпункте</w:t>
            </w:r>
            <w:r>
              <w:rPr>
                <w:i w:val="0"/>
                <w:iCs w:val="0"/>
                <w:color w:val="000000" w:themeColor="text1"/>
                <w:spacing w:val="-3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"д"</w:t>
            </w:r>
            <w:r>
              <w:rPr>
                <w:i w:val="0"/>
                <w:iCs w:val="0"/>
                <w:color w:val="000000" w:themeColor="text1"/>
                <w:spacing w:val="-5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пункта</w:t>
            </w:r>
            <w:r>
              <w:rPr>
                <w:i w:val="0"/>
                <w:iCs w:val="0"/>
                <w:color w:val="000000" w:themeColor="text1"/>
                <w:sz w:val="24"/>
              </w:rPr>
            </w:r>
          </w:p>
          <w:p>
            <w:pPr>
              <w:pStyle w:val="636"/>
              <w:ind w:left="57" w:right="57" w:firstLine="0"/>
              <w:spacing w:before="0" w:beforeAutospacing="0"/>
              <w:rPr>
                <w:i w:val="0"/>
                <w:iCs w:val="0"/>
                <w:color w:val="000000" w:themeColor="text1"/>
                <w:sz w:val="24"/>
              </w:rPr>
              <w:suppressLineNumbers w:val="0"/>
            </w:pPr>
            <w:r>
              <w:rPr>
                <w:i w:val="0"/>
                <w:iCs w:val="0"/>
                <w:color w:val="000000" w:themeColor="text1"/>
                <w:sz w:val="24"/>
              </w:rPr>
              <w:t xml:space="preserve">2.8 Административного регламента,</w:t>
            </w:r>
            <w:r>
              <w:rPr>
                <w:i w:val="0"/>
                <w:iCs w:val="0"/>
                <w:color w:val="000000" w:themeColor="text1"/>
                <w:spacing w:val="1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представлены в электронной форме с</w:t>
            </w:r>
            <w:r>
              <w:rPr>
                <w:i w:val="0"/>
                <w:iCs w:val="0"/>
                <w:color w:val="000000" w:themeColor="text1"/>
                <w:spacing w:val="1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нарушением</w:t>
            </w:r>
            <w:r>
              <w:rPr>
                <w:i w:val="0"/>
                <w:iCs w:val="0"/>
                <w:color w:val="000000" w:themeColor="text1"/>
                <w:spacing w:val="-11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требований,</w:t>
            </w:r>
            <w:r>
              <w:rPr>
                <w:i w:val="0"/>
                <w:iCs w:val="0"/>
                <w:color w:val="000000" w:themeColor="text1"/>
                <w:spacing w:val="-9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установленных</w:t>
            </w:r>
            <w:r>
              <w:rPr>
                <w:i w:val="0"/>
                <w:iCs w:val="0"/>
                <w:color w:val="000000" w:themeColor="text1"/>
                <w:spacing w:val="-57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пунктами 2.5 – 2.7 Административного</w:t>
            </w:r>
            <w:r>
              <w:rPr>
                <w:i w:val="0"/>
                <w:iCs w:val="0"/>
                <w:color w:val="000000" w:themeColor="text1"/>
                <w:spacing w:val="1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регламента</w:t>
            </w:r>
            <w:r>
              <w:rPr>
                <w:i w:val="0"/>
                <w:iCs w:val="0"/>
                <w:color w:val="000000" w:themeColor="text1"/>
                <w:sz w:val="24"/>
              </w:rPr>
            </w:r>
          </w:p>
        </w:tc>
        <w:tc>
          <w:tcPr>
            <w:tcW w:w="3402" w:type="dxa"/>
            <w:vAlign w:val="top"/>
            <w:textDirection w:val="lrTb"/>
            <w:noWrap w:val="false"/>
          </w:tcPr>
          <w:p>
            <w:pPr>
              <w:pStyle w:val="636"/>
              <w:ind w:left="57" w:right="57" w:firstLine="0"/>
              <w:spacing w:before="0" w:beforeAutospacing="0"/>
              <w:rPr>
                <w:i w:val="0"/>
                <w:iCs w:val="0"/>
                <w:color w:val="000000" w:themeColor="text1"/>
                <w:sz w:val="24"/>
              </w:rPr>
              <w:suppressLineNumbers w:val="0"/>
            </w:pPr>
            <w:r>
              <w:rPr>
                <w:i w:val="0"/>
                <w:iCs w:val="0"/>
                <w:color w:val="000000" w:themeColor="text1"/>
                <w:sz w:val="24"/>
              </w:rPr>
              <w:t xml:space="preserve">Указывается</w:t>
            </w:r>
            <w:r>
              <w:rPr>
                <w:i w:val="0"/>
                <w:iCs w:val="0"/>
                <w:color w:val="000000" w:themeColor="text1"/>
                <w:spacing w:val="-11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исчерпывающий</w:t>
            </w:r>
            <w:r>
              <w:rPr>
                <w:i w:val="0"/>
                <w:iCs w:val="0"/>
                <w:color w:val="000000" w:themeColor="text1"/>
                <w:spacing w:val="-10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перечень</w:t>
            </w:r>
            <w:r>
              <w:rPr>
                <w:i w:val="0"/>
                <w:iCs w:val="0"/>
                <w:color w:val="000000" w:themeColor="text1"/>
                <w:spacing w:val="-57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электронных документов, не</w:t>
            </w:r>
            <w:r>
              <w:rPr>
                <w:i w:val="0"/>
                <w:iCs w:val="0"/>
                <w:color w:val="000000" w:themeColor="text1"/>
                <w:spacing w:val="1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соо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т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ветствующих указанному</w:t>
            </w:r>
            <w:r>
              <w:rPr>
                <w:i w:val="0"/>
                <w:iCs w:val="0"/>
                <w:color w:val="000000" w:themeColor="text1"/>
                <w:spacing w:val="1"/>
                <w:sz w:val="24"/>
              </w:rPr>
              <w:t xml:space="preserve"> </w:t>
            </w:r>
            <w:r>
              <w:rPr>
                <w:i w:val="0"/>
                <w:iCs w:val="0"/>
                <w:color w:val="000000" w:themeColor="text1"/>
                <w:sz w:val="24"/>
              </w:rPr>
              <w:t xml:space="preserve">критерию</w:t>
            </w:r>
            <w:r>
              <w:rPr>
                <w:i w:val="0"/>
                <w:iCs w:val="0"/>
                <w:color w:val="000000" w:themeColor="text1"/>
                <w:sz w:val="24"/>
              </w:rPr>
            </w:r>
          </w:p>
        </w:tc>
      </w:tr>
    </w:tbl>
    <w:p>
      <w:pPr>
        <w:pStyle w:val="621"/>
        <w:jc w:val="right"/>
      </w:pPr>
      <w:r>
        <w:t xml:space="preserve">»</w:t>
      </w:r>
      <w:r/>
    </w:p>
    <w:p>
      <w:pPr>
        <w:pStyle w:val="621"/>
      </w:pPr>
      <w:r/>
      <w:r/>
    </w:p>
    <w:p>
      <w:pPr>
        <w:pStyle w:val="621"/>
        <w:ind w:firstLine="708"/>
        <w:jc w:val="both"/>
      </w:pPr>
      <w:r>
        <w:t xml:space="preserve">1.1</w:t>
      </w:r>
      <w:r>
        <w:t xml:space="preserve">2</w:t>
      </w:r>
      <w:r>
        <w:t xml:space="preserve">. </w:t>
      </w:r>
      <w:r>
        <w:t xml:space="preserve">В </w:t>
      </w:r>
      <w:r>
        <w:t xml:space="preserve">Приложен</w:t>
      </w:r>
      <w:r>
        <w:t xml:space="preserve">ии</w:t>
      </w:r>
      <w:r>
        <w:t xml:space="preserve"> 3 к Административному регламенту </w:t>
      </w:r>
      <w:r>
        <w:t xml:space="preserve">строку</w:t>
      </w:r>
      <w:r>
        <w:t xml:space="preserve"> 2</w:t>
      </w:r>
      <w:r>
        <w:t xml:space="preserve"> в таблице</w:t>
      </w:r>
      <w:r>
        <w:t xml:space="preserve"> изложить в новой редакции</w:t>
      </w:r>
      <w:r>
        <w:t xml:space="preserve">:</w:t>
      </w:r>
      <w:r/>
    </w:p>
    <w:p>
      <w:pPr>
        <w:pStyle w:val="621"/>
      </w:pPr>
      <w:r>
        <w:t xml:space="preserve">«</w:t>
      </w:r>
      <w:r/>
    </w:p>
    <w:tbl>
      <w:tblPr>
        <w:tblW w:w="9242" w:type="dxa"/>
        <w:tblInd w:w="1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0" w:type="dxa"/>
          <w:top w:w="0" w:type="dxa"/>
          <w:right w:w="0" w:type="dxa"/>
          <w:bottom w:w="0" w:type="dxa"/>
        </w:tblCellMar>
        <w:tblLook w:val="01E0" w:firstRow="1" w:lastRow="1" w:firstColumn="1" w:lastColumn="1" w:noHBand="0" w:noVBand="0"/>
      </w:tblPr>
      <w:tblGrid>
        <w:gridCol w:w="1419"/>
        <w:gridCol w:w="4820"/>
        <w:gridCol w:w="300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31"/>
        </w:trPr>
        <w:tc>
          <w:tcPr>
            <w:tcW w:w="1419" w:type="dxa"/>
            <w:vAlign w:val="top"/>
            <w:textDirection w:val="lrTb"/>
            <w:noWrap w:val="false"/>
          </w:tcPr>
          <w:p>
            <w:pPr>
              <w:pStyle w:val="636"/>
              <w:ind w:left="57" w:right="57" w:firstLine="0"/>
              <w:jc w:val="both"/>
              <w:spacing w:before="0" w:beforeAutospacing="0"/>
              <w:rPr>
                <w:i w:val="0"/>
                <w:iCs w:val="0"/>
                <w:sz w:val="24"/>
                <w:szCs w:val="24"/>
              </w:rPr>
              <w:suppressLineNumbers w:val="0"/>
            </w:pPr>
            <w:r>
              <w:rPr>
                <w:i w:val="0"/>
                <w:iCs w:val="0"/>
                <w:sz w:val="24"/>
                <w:szCs w:val="24"/>
              </w:rPr>
              <w:t xml:space="preserve">подпункт</w:t>
            </w:r>
            <w:r>
              <w:rPr>
                <w:i w:val="0"/>
                <w:iCs w:val="0"/>
                <w:spacing w:val="1"/>
                <w:sz w:val="24"/>
                <w:szCs w:val="24"/>
              </w:rPr>
              <w:t xml:space="preserve"> </w:t>
            </w:r>
            <w:r>
              <w:rPr>
                <w:i w:val="0"/>
                <w:iCs w:val="0"/>
                <w:sz w:val="24"/>
                <w:szCs w:val="24"/>
              </w:rPr>
              <w:t xml:space="preserve">"а"</w:t>
            </w:r>
            <w:r>
              <w:rPr>
                <w:i w:val="0"/>
                <w:iCs w:val="0"/>
                <w:spacing w:val="-15"/>
                <w:sz w:val="24"/>
                <w:szCs w:val="24"/>
              </w:rPr>
              <w:t xml:space="preserve"> </w:t>
            </w:r>
            <w:r>
              <w:rPr>
                <w:i w:val="0"/>
                <w:iCs w:val="0"/>
                <w:sz w:val="24"/>
                <w:szCs w:val="24"/>
              </w:rPr>
              <w:t xml:space="preserve">пункта</w:t>
            </w:r>
            <w:r>
              <w:rPr>
                <w:i w:val="0"/>
                <w:iCs w:val="0"/>
                <w:spacing w:val="-57"/>
                <w:sz w:val="24"/>
                <w:szCs w:val="24"/>
              </w:rPr>
              <w:t xml:space="preserve"> </w:t>
            </w:r>
            <w:r>
              <w:rPr>
                <w:i w:val="0"/>
                <w:iCs w:val="0"/>
                <w:sz w:val="24"/>
                <w:szCs w:val="24"/>
              </w:rPr>
              <w:t xml:space="preserve">2.22</w:t>
            </w:r>
            <w:r>
              <w:rPr>
                <w:i w:val="0"/>
                <w:iCs w:val="0"/>
                <w:sz w:val="24"/>
                <w:szCs w:val="24"/>
              </w:rPr>
            </w:r>
          </w:p>
        </w:tc>
        <w:tc>
          <w:tcPr>
            <w:tcW w:w="4820" w:type="dxa"/>
            <w:vAlign w:val="top"/>
            <w:textDirection w:val="lrTb"/>
            <w:noWrap w:val="false"/>
          </w:tcPr>
          <w:p>
            <w:pPr>
              <w:pStyle w:val="636"/>
              <w:ind w:left="57" w:right="57" w:firstLine="0"/>
              <w:jc w:val="both"/>
              <w:spacing w:before="0" w:beforeAutospacing="0"/>
              <w:rPr>
                <w:i w:val="0"/>
                <w:iCs w:val="0"/>
                <w:sz w:val="24"/>
                <w:szCs w:val="24"/>
              </w:rPr>
              <w:suppressLineNumbers w:val="0"/>
            </w:pPr>
            <w:r>
              <w:rPr>
                <w:i w:val="0"/>
                <w:iCs w:val="0"/>
                <w:sz w:val="24"/>
                <w:szCs w:val="24"/>
              </w:rPr>
              <w:t xml:space="preserve">отсутствие документов, предусмотренных</w:t>
            </w:r>
            <w:r>
              <w:rPr>
                <w:i w:val="0"/>
                <w:iCs w:val="0"/>
                <w:spacing w:val="1"/>
                <w:sz w:val="24"/>
                <w:szCs w:val="24"/>
              </w:rPr>
              <w:t xml:space="preserve"> </w:t>
            </w:r>
            <w:r>
              <w:rPr>
                <w:i w:val="0"/>
                <w:iCs w:val="0"/>
                <w:sz w:val="24"/>
                <w:szCs w:val="24"/>
              </w:rPr>
              <w:t xml:space="preserve">подпункт</w:t>
            </w:r>
            <w:r>
              <w:rPr>
                <w:i w:val="0"/>
                <w:iCs w:val="0"/>
                <w:sz w:val="24"/>
                <w:szCs w:val="24"/>
              </w:rPr>
              <w:t xml:space="preserve">о</w:t>
            </w:r>
            <w:r>
              <w:rPr>
                <w:i w:val="0"/>
                <w:iCs w:val="0"/>
                <w:sz w:val="24"/>
                <w:szCs w:val="24"/>
              </w:rPr>
              <w:t xml:space="preserve">м</w:t>
            </w:r>
            <w:r>
              <w:rPr>
                <w:i w:val="0"/>
                <w:iCs w:val="0"/>
                <w:sz w:val="24"/>
                <w:szCs w:val="24"/>
              </w:rPr>
              <w:t xml:space="preserve"> </w:t>
            </w:r>
            <w:r>
              <w:rPr>
                <w:i w:val="0"/>
                <w:iCs w:val="0"/>
                <w:sz w:val="24"/>
                <w:szCs w:val="24"/>
              </w:rPr>
              <w:t xml:space="preserve">"д" пункта 2.8</w:t>
            </w:r>
            <w:r>
              <w:rPr>
                <w:i w:val="0"/>
                <w:iCs w:val="0"/>
                <w:sz w:val="24"/>
                <w:szCs w:val="24"/>
              </w:rPr>
              <w:t xml:space="preserve">.</w:t>
            </w:r>
            <w:r>
              <w:rPr>
                <w:i w:val="0"/>
                <w:iCs w:val="0"/>
                <w:sz w:val="24"/>
                <w:szCs w:val="24"/>
              </w:rPr>
              <w:t xml:space="preserve">, пунктом 2.9</w:t>
            </w:r>
            <w:r>
              <w:rPr>
                <w:i w:val="0"/>
                <w:iCs w:val="0"/>
                <w:sz w:val="24"/>
                <w:szCs w:val="24"/>
              </w:rPr>
              <w:t xml:space="preserve">. </w:t>
            </w:r>
            <w:r>
              <w:rPr>
                <w:i w:val="0"/>
                <w:iCs w:val="0"/>
                <w:spacing w:val="-58"/>
                <w:sz w:val="24"/>
                <w:szCs w:val="24"/>
              </w:rPr>
              <w:t xml:space="preserve"> </w:t>
            </w:r>
            <w:r>
              <w:rPr>
                <w:i w:val="0"/>
                <w:iCs w:val="0"/>
                <w:sz w:val="24"/>
                <w:szCs w:val="24"/>
              </w:rPr>
              <w:t xml:space="preserve">Административного</w:t>
            </w:r>
            <w:r>
              <w:rPr>
                <w:i w:val="0"/>
                <w:iCs w:val="0"/>
                <w:spacing w:val="-1"/>
                <w:sz w:val="24"/>
                <w:szCs w:val="24"/>
              </w:rPr>
              <w:t xml:space="preserve"> </w:t>
            </w:r>
            <w:r>
              <w:rPr>
                <w:i w:val="0"/>
                <w:iCs w:val="0"/>
                <w:sz w:val="24"/>
                <w:szCs w:val="24"/>
              </w:rPr>
              <w:t xml:space="preserve">регламента</w:t>
            </w:r>
            <w:r>
              <w:rPr>
                <w:i w:val="0"/>
                <w:iCs w:val="0"/>
                <w:sz w:val="24"/>
                <w:szCs w:val="24"/>
              </w:rPr>
            </w:r>
          </w:p>
        </w:tc>
        <w:tc>
          <w:tcPr>
            <w:tcW w:w="3003" w:type="dxa"/>
            <w:vAlign w:val="top"/>
            <w:textDirection w:val="lrTb"/>
            <w:noWrap w:val="false"/>
          </w:tcPr>
          <w:p>
            <w:pPr>
              <w:pStyle w:val="636"/>
              <w:ind w:left="57" w:right="57" w:firstLine="0"/>
              <w:jc w:val="both"/>
              <w:spacing w:before="0" w:beforeAutospacing="0"/>
              <w:rPr>
                <w:i w:val="0"/>
                <w:iCs w:val="0"/>
                <w:sz w:val="24"/>
                <w:szCs w:val="24"/>
              </w:rPr>
              <w:suppressLineNumbers w:val="0"/>
            </w:pPr>
            <w:r>
              <w:rPr>
                <w:i w:val="0"/>
                <w:iCs w:val="0"/>
                <w:sz w:val="24"/>
                <w:szCs w:val="24"/>
              </w:rPr>
              <w:t xml:space="preserve">Указываются</w:t>
            </w:r>
            <w:r>
              <w:rPr>
                <w:i w:val="0"/>
                <w:iCs w:val="0"/>
                <w:spacing w:val="-8"/>
                <w:sz w:val="24"/>
                <w:szCs w:val="24"/>
              </w:rPr>
              <w:t xml:space="preserve"> </w:t>
            </w:r>
            <w:r>
              <w:rPr>
                <w:i w:val="0"/>
                <w:iCs w:val="0"/>
                <w:sz w:val="24"/>
                <w:szCs w:val="24"/>
              </w:rPr>
              <w:t xml:space="preserve">основания</w:t>
            </w:r>
            <w:r>
              <w:rPr>
                <w:i w:val="0"/>
                <w:iCs w:val="0"/>
                <w:spacing w:val="-8"/>
                <w:sz w:val="24"/>
                <w:szCs w:val="24"/>
              </w:rPr>
              <w:t xml:space="preserve"> </w:t>
            </w:r>
            <w:r>
              <w:rPr>
                <w:i w:val="0"/>
                <w:iCs w:val="0"/>
                <w:sz w:val="24"/>
                <w:szCs w:val="24"/>
              </w:rPr>
              <w:t xml:space="preserve">такого</w:t>
            </w:r>
            <w:r>
              <w:rPr>
                <w:i w:val="0"/>
                <w:iCs w:val="0"/>
                <w:spacing w:val="-57"/>
                <w:sz w:val="24"/>
                <w:szCs w:val="24"/>
              </w:rPr>
              <w:t xml:space="preserve"> </w:t>
            </w:r>
            <w:r>
              <w:rPr>
                <w:i w:val="0"/>
                <w:iCs w:val="0"/>
                <w:sz w:val="24"/>
                <w:szCs w:val="24"/>
              </w:rPr>
              <w:t xml:space="preserve">вывода</w:t>
            </w:r>
            <w:r>
              <w:rPr>
                <w:i w:val="0"/>
                <w:iCs w:val="0"/>
                <w:sz w:val="24"/>
                <w:szCs w:val="24"/>
              </w:rPr>
            </w:r>
          </w:p>
        </w:tc>
      </w:tr>
    </w:tbl>
    <w:p>
      <w:pPr>
        <w:pStyle w:val="621"/>
        <w:jc w:val="right"/>
      </w:pPr>
      <w:r/>
      <w:r>
        <w:t xml:space="preserve"> »</w:t>
      </w:r>
      <w:r/>
    </w:p>
    <w:p>
      <w:pPr>
        <w:pStyle w:val="621"/>
        <w:ind w:firstLine="708"/>
        <w:jc w:val="both"/>
      </w:pPr>
      <w:r>
        <w:t xml:space="preserve">1.1</w:t>
      </w:r>
      <w:r>
        <w:t xml:space="preserve">3</w:t>
      </w:r>
      <w:r>
        <w:t xml:space="preserve">. В Приложении 5 к Административному регламенту в таблице исключить строку </w:t>
      </w:r>
      <w:r>
        <w:t xml:space="preserve">3 </w:t>
      </w:r>
      <w:r>
        <w:t xml:space="preserve">следующего содержания:</w:t>
      </w:r>
      <w:r/>
    </w:p>
    <w:p>
      <w:pPr>
        <w:pStyle w:val="621"/>
        <w:ind w:firstLine="0"/>
        <w:jc w:val="both"/>
        <w:suppressLineNumbers w:val="0"/>
      </w:pPr>
      <w:r>
        <w:t xml:space="preserve">«</w:t>
      </w:r>
      <w:r/>
    </w:p>
    <w:tbl>
      <w:tblPr>
        <w:tblW w:w="0" w:type="auto"/>
        <w:tblInd w:w="1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0" w:type="dxa"/>
          <w:top w:w="0" w:type="dxa"/>
          <w:right w:w="0" w:type="dxa"/>
          <w:bottom w:w="0" w:type="dxa"/>
        </w:tblCellMar>
        <w:tblLook w:val="01E0" w:firstRow="1" w:lastRow="1" w:firstColumn="1" w:lastColumn="1" w:noHBand="0" w:noVBand="0"/>
      </w:tblPr>
      <w:tblGrid>
        <w:gridCol w:w="1277"/>
        <w:gridCol w:w="4604"/>
        <w:gridCol w:w="336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63"/>
        </w:trPr>
        <w:tc>
          <w:tcPr>
            <w:tcW w:w="1277" w:type="dxa"/>
            <w:vAlign w:val="top"/>
            <w:textDirection w:val="lrTb"/>
            <w:noWrap w:val="false"/>
          </w:tcPr>
          <w:p>
            <w:pPr>
              <w:pStyle w:val="636"/>
              <w:ind w:left="57" w:right="57"/>
              <w:jc w:val="both"/>
              <w:spacing w:before="0" w:beforeAutospacing="0"/>
              <w:rPr>
                <w:i w:val="0"/>
                <w:iCs w:val="0"/>
                <w:sz w:val="24"/>
              </w:rPr>
              <w:suppressLineNumbers w:val="0"/>
            </w:pPr>
            <w:r>
              <w:rPr>
                <w:i w:val="0"/>
                <w:iCs w:val="0"/>
                <w:sz w:val="24"/>
              </w:rPr>
              <w:t xml:space="preserve">подпункт</w:t>
            </w:r>
            <w:r>
              <w:rPr>
                <w:i w:val="0"/>
                <w:iCs w:val="0"/>
                <w:spacing w:val="1"/>
                <w:sz w:val="24"/>
              </w:rPr>
              <w:t xml:space="preserve"> </w:t>
            </w:r>
            <w:r>
              <w:rPr>
                <w:i w:val="0"/>
                <w:iCs w:val="0"/>
                <w:spacing w:val="-1"/>
                <w:sz w:val="24"/>
              </w:rPr>
              <w:t xml:space="preserve">"б" пункта</w:t>
            </w:r>
            <w:r>
              <w:rPr>
                <w:i w:val="0"/>
                <w:iCs w:val="0"/>
                <w:spacing w:val="-57"/>
                <w:sz w:val="24"/>
              </w:rPr>
              <w:t xml:space="preserve"> </w:t>
            </w:r>
            <w:r>
              <w:rPr>
                <w:i w:val="0"/>
                <w:iCs w:val="0"/>
                <w:sz w:val="24"/>
              </w:rPr>
              <w:t xml:space="preserve">2.28</w:t>
            </w:r>
            <w:r>
              <w:rPr>
                <w:i w:val="0"/>
                <w:iCs w:val="0"/>
                <w:sz w:val="24"/>
              </w:rPr>
            </w:r>
          </w:p>
        </w:tc>
        <w:tc>
          <w:tcPr>
            <w:tcW w:w="4604" w:type="dxa"/>
            <w:vAlign w:val="top"/>
            <w:textDirection w:val="lrTb"/>
            <w:noWrap w:val="false"/>
          </w:tcPr>
          <w:p>
            <w:pPr>
              <w:pStyle w:val="636"/>
              <w:ind w:left="57" w:right="57"/>
              <w:jc w:val="both"/>
              <w:spacing w:before="0" w:beforeAutospacing="0"/>
              <w:rPr>
                <w:i w:val="0"/>
                <w:iCs w:val="0"/>
                <w:sz w:val="24"/>
              </w:rPr>
              <w:suppressLineNumbers w:val="0"/>
            </w:pPr>
            <w:r>
              <w:rPr>
                <w:i w:val="0"/>
                <w:iCs w:val="0"/>
                <w:sz w:val="24"/>
              </w:rPr>
              <w:t xml:space="preserve">отсутствие</w:t>
            </w:r>
            <w:r>
              <w:rPr>
                <w:i w:val="0"/>
                <w:iCs w:val="0"/>
                <w:spacing w:val="11"/>
                <w:sz w:val="24"/>
              </w:rPr>
              <w:t xml:space="preserve"> </w:t>
            </w:r>
            <w:r>
              <w:rPr>
                <w:i w:val="0"/>
                <w:iCs w:val="0"/>
                <w:sz w:val="24"/>
              </w:rPr>
              <w:t xml:space="preserve">факта</w:t>
            </w:r>
            <w:r>
              <w:rPr>
                <w:i w:val="0"/>
                <w:iCs w:val="0"/>
                <w:spacing w:val="12"/>
                <w:sz w:val="24"/>
              </w:rPr>
              <w:t xml:space="preserve"> </w:t>
            </w:r>
            <w:r>
              <w:rPr>
                <w:i w:val="0"/>
                <w:iCs w:val="0"/>
                <w:sz w:val="24"/>
              </w:rPr>
              <w:t xml:space="preserve">допущения</w:t>
            </w:r>
            <w:r>
              <w:rPr>
                <w:i w:val="0"/>
                <w:iCs w:val="0"/>
                <w:spacing w:val="11"/>
                <w:sz w:val="24"/>
              </w:rPr>
              <w:t xml:space="preserve"> </w:t>
            </w:r>
            <w:r>
              <w:rPr>
                <w:i w:val="0"/>
                <w:iCs w:val="0"/>
                <w:sz w:val="24"/>
              </w:rPr>
              <w:t xml:space="preserve">опечаток</w:t>
            </w:r>
            <w:r>
              <w:rPr>
                <w:i w:val="0"/>
                <w:iCs w:val="0"/>
                <w:spacing w:val="1"/>
                <w:sz w:val="24"/>
              </w:rPr>
              <w:t xml:space="preserve"> </w:t>
            </w:r>
            <w:r>
              <w:rPr>
                <w:i w:val="0"/>
                <w:iCs w:val="0"/>
                <w:sz w:val="24"/>
              </w:rPr>
              <w:t xml:space="preserve">и</w:t>
            </w:r>
            <w:r>
              <w:rPr>
                <w:i w:val="0"/>
                <w:iCs w:val="0"/>
                <w:spacing w:val="-4"/>
                <w:sz w:val="24"/>
              </w:rPr>
              <w:t xml:space="preserve"> </w:t>
            </w:r>
            <w:r>
              <w:rPr>
                <w:i w:val="0"/>
                <w:iCs w:val="0"/>
                <w:sz w:val="24"/>
              </w:rPr>
              <w:t xml:space="preserve">ошибок</w:t>
            </w:r>
            <w:r>
              <w:rPr>
                <w:i w:val="0"/>
                <w:iCs w:val="0"/>
                <w:spacing w:val="-3"/>
                <w:sz w:val="24"/>
              </w:rPr>
              <w:t xml:space="preserve"> </w:t>
            </w:r>
            <w:r>
              <w:rPr>
                <w:i w:val="0"/>
                <w:iCs w:val="0"/>
                <w:sz w:val="24"/>
              </w:rPr>
              <w:t xml:space="preserve">в</w:t>
            </w:r>
            <w:r>
              <w:rPr>
                <w:i w:val="0"/>
                <w:iCs w:val="0"/>
                <w:spacing w:val="-3"/>
                <w:sz w:val="24"/>
              </w:rPr>
              <w:t xml:space="preserve"> </w:t>
            </w:r>
            <w:r>
              <w:rPr>
                <w:i w:val="0"/>
                <w:iCs w:val="0"/>
                <w:sz w:val="24"/>
              </w:rPr>
              <w:t xml:space="preserve">разрешении</w:t>
            </w:r>
            <w:r>
              <w:rPr>
                <w:i w:val="0"/>
                <w:iCs w:val="0"/>
                <w:spacing w:val="-3"/>
                <w:sz w:val="24"/>
              </w:rPr>
              <w:t xml:space="preserve"> </w:t>
            </w:r>
            <w:r>
              <w:rPr>
                <w:i w:val="0"/>
                <w:iCs w:val="0"/>
                <w:sz w:val="24"/>
              </w:rPr>
              <w:t xml:space="preserve">на</w:t>
            </w:r>
            <w:r>
              <w:rPr>
                <w:i w:val="0"/>
                <w:iCs w:val="0"/>
                <w:spacing w:val="-4"/>
                <w:sz w:val="24"/>
              </w:rPr>
              <w:t xml:space="preserve"> </w:t>
            </w:r>
            <w:r>
              <w:rPr>
                <w:i w:val="0"/>
                <w:iCs w:val="0"/>
                <w:sz w:val="24"/>
              </w:rPr>
              <w:t xml:space="preserve">ввод</w:t>
            </w:r>
            <w:r>
              <w:rPr>
                <w:i w:val="0"/>
                <w:iCs w:val="0"/>
                <w:spacing w:val="-2"/>
                <w:sz w:val="24"/>
              </w:rPr>
              <w:t xml:space="preserve"> </w:t>
            </w:r>
            <w:r>
              <w:rPr>
                <w:i w:val="0"/>
                <w:iCs w:val="0"/>
                <w:sz w:val="24"/>
              </w:rPr>
              <w:t xml:space="preserve">объекта</w:t>
            </w:r>
            <w:r>
              <w:rPr>
                <w:i w:val="0"/>
                <w:iCs w:val="0"/>
                <w:spacing w:val="-57"/>
                <w:sz w:val="24"/>
              </w:rPr>
              <w:t xml:space="preserve"> </w:t>
            </w:r>
            <w:r>
              <w:rPr>
                <w:i w:val="0"/>
                <w:iCs w:val="0"/>
                <w:sz w:val="24"/>
              </w:rPr>
              <w:t xml:space="preserve">в</w:t>
            </w:r>
            <w:r>
              <w:rPr>
                <w:i w:val="0"/>
                <w:iCs w:val="0"/>
                <w:spacing w:val="-2"/>
                <w:sz w:val="24"/>
              </w:rPr>
              <w:t xml:space="preserve"> </w:t>
            </w:r>
            <w:r>
              <w:rPr>
                <w:i w:val="0"/>
                <w:iCs w:val="0"/>
                <w:sz w:val="24"/>
              </w:rPr>
              <w:t xml:space="preserve">эксплуатацию</w:t>
            </w:r>
            <w:r>
              <w:rPr>
                <w:i w:val="0"/>
                <w:iCs w:val="0"/>
                <w:sz w:val="24"/>
              </w:rPr>
            </w:r>
          </w:p>
        </w:tc>
        <w:tc>
          <w:tcPr>
            <w:tcW w:w="3361" w:type="dxa"/>
            <w:vAlign w:val="top"/>
            <w:textDirection w:val="lrTb"/>
            <w:noWrap w:val="false"/>
          </w:tcPr>
          <w:p>
            <w:pPr>
              <w:pStyle w:val="636"/>
              <w:ind w:left="57" w:right="57"/>
              <w:jc w:val="both"/>
              <w:spacing w:before="0" w:beforeAutospacing="0"/>
              <w:rPr>
                <w:i w:val="0"/>
                <w:iCs w:val="0"/>
                <w:sz w:val="24"/>
              </w:rPr>
              <w:suppressLineNumbers w:val="0"/>
            </w:pPr>
            <w:r>
              <w:rPr>
                <w:i w:val="0"/>
                <w:iCs w:val="0"/>
                <w:sz w:val="24"/>
              </w:rPr>
              <w:t xml:space="preserve">Указываются</w:t>
            </w:r>
            <w:r>
              <w:rPr>
                <w:i w:val="0"/>
                <w:iCs w:val="0"/>
                <w:spacing w:val="-8"/>
                <w:sz w:val="24"/>
              </w:rPr>
              <w:t xml:space="preserve"> </w:t>
            </w:r>
            <w:r>
              <w:rPr>
                <w:i w:val="0"/>
                <w:iCs w:val="0"/>
                <w:sz w:val="24"/>
              </w:rPr>
              <w:t xml:space="preserve">основания</w:t>
            </w:r>
            <w:r>
              <w:rPr>
                <w:i w:val="0"/>
                <w:iCs w:val="0"/>
                <w:spacing w:val="-8"/>
                <w:sz w:val="24"/>
              </w:rPr>
              <w:t xml:space="preserve"> </w:t>
            </w:r>
            <w:r>
              <w:rPr>
                <w:i w:val="0"/>
                <w:iCs w:val="0"/>
                <w:sz w:val="24"/>
              </w:rPr>
              <w:t xml:space="preserve">такого</w:t>
            </w:r>
            <w:r>
              <w:rPr>
                <w:i w:val="0"/>
                <w:iCs w:val="0"/>
                <w:spacing w:val="-57"/>
                <w:sz w:val="24"/>
              </w:rPr>
              <w:t xml:space="preserve"> </w:t>
            </w:r>
            <w:r>
              <w:rPr>
                <w:i w:val="0"/>
                <w:iCs w:val="0"/>
                <w:sz w:val="24"/>
              </w:rPr>
              <w:t xml:space="preserve">вывода</w:t>
            </w:r>
            <w:r>
              <w:rPr>
                <w:i w:val="0"/>
                <w:iCs w:val="0"/>
                <w:sz w:val="24"/>
              </w:rPr>
            </w:r>
          </w:p>
        </w:tc>
      </w:tr>
    </w:tbl>
    <w:p>
      <w:pPr>
        <w:pStyle w:val="621"/>
        <w:jc w:val="right"/>
      </w:pPr>
      <w:r>
        <w:t xml:space="preserve">»</w:t>
      </w:r>
      <w:r/>
    </w:p>
    <w:p>
      <w:pPr>
        <w:pStyle w:val="621"/>
        <w:ind w:firstLine="720"/>
        <w:jc w:val="both"/>
        <w:rPr>
          <w:color w:val="000000" w:themeColor="text1"/>
        </w:rPr>
        <w:suppressLineNumbers w:val="0"/>
      </w:pPr>
      <w:r>
        <w:rPr>
          <w:color w:val="000000" w:themeColor="text1"/>
        </w:rPr>
        <w:t xml:space="preserve">2. </w:t>
      </w:r>
      <w:r>
        <w:rPr>
          <w:color w:val="000000" w:themeColor="text1"/>
        </w:rPr>
        <w:t xml:space="preserve">Н</w:t>
      </w:r>
      <w:r>
        <w:rPr>
          <w:color w:val="000000" w:themeColor="text1"/>
        </w:rPr>
        <w:t xml:space="preserve">ачальник</w:t>
      </w:r>
      <w:r>
        <w:rPr>
          <w:color w:val="000000" w:themeColor="text1"/>
        </w:rPr>
        <w:t xml:space="preserve">у</w:t>
      </w:r>
      <w:r>
        <w:rPr>
          <w:color w:val="000000" w:themeColor="text1"/>
        </w:rPr>
        <w:t xml:space="preserve"> отдела по организационной работе, контролю и делопроизводству </w:t>
      </w:r>
      <w:r>
        <w:rPr>
          <w:color w:val="000000" w:themeColor="text1"/>
        </w:rPr>
        <w:t xml:space="preserve">В.Д. Бычковой</w:t>
      </w:r>
      <w:r>
        <w:rPr>
          <w:color w:val="000000" w:themeColor="text1"/>
        </w:rPr>
        <w:t xml:space="preserve"> обеспечить опубликование настоящего постановления в официальных средствах ма</w:t>
      </w:r>
      <w:r>
        <w:rPr>
          <w:color w:val="000000" w:themeColor="text1"/>
        </w:rPr>
        <w:t xml:space="preserve">с</w:t>
      </w:r>
      <w:r>
        <w:rPr>
          <w:color w:val="000000" w:themeColor="text1"/>
        </w:rPr>
        <w:t xml:space="preserve">совой информации и размещение на официальном сайте администрации Тайшетского городск</w:t>
      </w:r>
      <w:r>
        <w:rPr>
          <w:color w:val="000000" w:themeColor="text1"/>
        </w:rPr>
        <w:t xml:space="preserve">о</w:t>
      </w:r>
      <w:r>
        <w:rPr>
          <w:color w:val="000000" w:themeColor="text1"/>
        </w:rPr>
        <w:t xml:space="preserve">го п</w:t>
      </w:r>
      <w:r>
        <w:rPr>
          <w:color w:val="000000" w:themeColor="text1"/>
        </w:rPr>
        <w:t xml:space="preserve">о</w:t>
      </w:r>
      <w:r>
        <w:rPr>
          <w:color w:val="000000" w:themeColor="text1"/>
        </w:rPr>
        <w:t xml:space="preserve">селения в сети «Интернет» </w:t>
      </w:r>
      <w:r>
        <w:rPr>
          <w:color w:val="000000" w:themeColor="text1"/>
          <w:lang w:val="en-US"/>
        </w:rPr>
        <w:fldChar w:fldCharType="begin"/>
      </w:r>
      <w:r>
        <w:rPr>
          <w:color w:val="000000" w:themeColor="text1"/>
        </w:rPr>
        <w:instrText xml:space="preserve"> </w:instrText>
      </w:r>
      <w:r>
        <w:rPr>
          <w:color w:val="000000" w:themeColor="text1"/>
          <w:lang w:val="en-US"/>
        </w:rPr>
        <w:instrText xml:space="preserve">HYPERLINK</w:instrText>
      </w:r>
      <w:r>
        <w:rPr>
          <w:color w:val="000000" w:themeColor="text1"/>
        </w:rPr>
        <w:instrText xml:space="preserve"> "</w:instrText>
      </w:r>
      <w:r>
        <w:rPr>
          <w:color w:val="000000" w:themeColor="text1"/>
          <w:lang w:val="en-US"/>
        </w:rPr>
        <w:instrText xml:space="preserve">http</w:instrText>
      </w:r>
      <w:r>
        <w:rPr>
          <w:color w:val="000000" w:themeColor="text1"/>
        </w:rPr>
        <w:instrText xml:space="preserve">://</w:instrText>
      </w:r>
      <w:r>
        <w:rPr>
          <w:color w:val="000000" w:themeColor="text1"/>
          <w:lang w:val="en-US"/>
        </w:rPr>
        <w:instrText xml:space="preserve">gorodtaishet</w:instrText>
      </w:r>
      <w:r>
        <w:rPr>
          <w:color w:val="000000" w:themeColor="text1"/>
        </w:rPr>
        <w:instrText xml:space="preserve">.</w:instrText>
      </w:r>
      <w:r>
        <w:rPr>
          <w:color w:val="000000" w:themeColor="text1"/>
          <w:lang w:val="en-US"/>
        </w:rPr>
        <w:instrText xml:space="preserve">ru</w:instrText>
      </w:r>
      <w:r>
        <w:rPr>
          <w:color w:val="000000" w:themeColor="text1"/>
        </w:rPr>
        <w:instrText xml:space="preserve">" </w:instrText>
      </w:r>
      <w:r>
        <w:rPr>
          <w:color w:val="000000" w:themeColor="text1"/>
          <w:lang w:val="en-US"/>
        </w:rPr>
        <w:fldChar w:fldCharType="separate"/>
      </w:r>
      <w:r>
        <w:rPr>
          <w:rStyle w:val="626"/>
          <w:color w:val="000000" w:themeColor="text1"/>
          <w:lang w:val="en-US"/>
        </w:rPr>
        <w:t xml:space="preserve">http</w:t>
      </w:r>
      <w:r>
        <w:rPr>
          <w:rStyle w:val="626"/>
          <w:color w:val="000000" w:themeColor="text1"/>
        </w:rPr>
        <w:t xml:space="preserve">://</w:t>
      </w:r>
      <w:r>
        <w:rPr>
          <w:rStyle w:val="626"/>
          <w:color w:val="000000" w:themeColor="text1"/>
          <w:lang w:val="en-US"/>
        </w:rPr>
        <w:t xml:space="preserve">gorodtaishet</w:t>
      </w:r>
      <w:r>
        <w:rPr>
          <w:rStyle w:val="626"/>
          <w:color w:val="000000" w:themeColor="text1"/>
        </w:rPr>
        <w:t xml:space="preserve">.</w:t>
      </w:r>
      <w:r>
        <w:rPr>
          <w:rStyle w:val="626"/>
          <w:color w:val="000000" w:themeColor="text1"/>
          <w:lang w:val="en-US"/>
        </w:rPr>
        <w:t xml:space="preserve">ru</w:t>
      </w:r>
      <w:r>
        <w:rPr>
          <w:color w:val="000000" w:themeColor="text1"/>
          <w:lang w:val="en-US"/>
        </w:rPr>
        <w:fldChar w:fldCharType="end"/>
      </w:r>
      <w:r>
        <w:rPr>
          <w:color w:val="000000" w:themeColor="text1"/>
        </w:rPr>
        <w:t xml:space="preserve">.</w:t>
      </w:r>
      <w:r>
        <w:rPr>
          <w:color w:val="000000" w:themeColor="text1"/>
        </w:rPr>
      </w:r>
    </w:p>
    <w:p>
      <w:pPr>
        <w:pStyle w:val="621"/>
        <w:ind w:firstLine="720"/>
        <w:jc w:val="both"/>
        <w:rPr>
          <w:color w:val="000000" w:themeColor="text1"/>
        </w:rPr>
        <w:suppressLineNumbers w:val="0"/>
      </w:pPr>
      <w:r>
        <w:rPr>
          <w:color w:val="000000" w:themeColor="text1"/>
        </w:rPr>
        <w:t xml:space="preserve">3.</w:t>
      </w:r>
      <w:r>
        <w:rPr>
          <w:color w:val="000000" w:themeColor="text1"/>
        </w:rPr>
        <w:t xml:space="preserve"> Настоящее постановление вступает в силу со дня его официального опубликования.</w:t>
      </w:r>
      <w:r>
        <w:rPr>
          <w:color w:val="000000" w:themeColor="text1"/>
        </w:rPr>
      </w:r>
    </w:p>
    <w:p>
      <w:pPr>
        <w:pStyle w:val="621"/>
        <w:ind w:firstLine="720"/>
        <w:jc w:val="both"/>
        <w:rPr>
          <w:color w:val="000000" w:themeColor="text1"/>
        </w:rPr>
        <w:suppressLineNumbers w:val="0"/>
      </w:pPr>
      <w:r>
        <w:rPr>
          <w:color w:val="000000" w:themeColor="text1"/>
        </w:rPr>
        <w:t xml:space="preserve">4</w:t>
      </w:r>
      <w:r>
        <w:rPr>
          <w:color w:val="000000" w:themeColor="text1"/>
        </w:rPr>
        <w:t xml:space="preserve">. Контроль за исполнением настоящего постановления оставляю за собой.</w:t>
      </w:r>
      <w:r>
        <w:rPr>
          <w:color w:val="000000" w:themeColor="text1"/>
        </w:rPr>
      </w:r>
    </w:p>
    <w:p>
      <w:pPr>
        <w:pStyle w:val="621"/>
        <w:ind w:left="0" w:firstLine="0"/>
        <w:jc w:val="both"/>
        <w:rPr>
          <w:color w:val="000000" w:themeColor="text1"/>
        </w:rPr>
        <w:suppressLineNumbers w:val="0"/>
      </w:pPr>
      <w:r>
        <w:rPr>
          <w:color w:val="000000" w:themeColor="text1"/>
        </w:rPr>
      </w:r>
      <w:r>
        <w:rPr>
          <w:color w:val="000000" w:themeColor="text1"/>
        </w:rPr>
      </w:r>
    </w:p>
    <w:p>
      <w:pPr>
        <w:jc w:val="both"/>
      </w:pPr>
      <w:r/>
      <w:r/>
    </w:p>
    <w:p>
      <w:pPr>
        <w:pStyle w:val="621"/>
        <w:jc w:val="both"/>
      </w:pPr>
      <w:r/>
      <w:r/>
    </w:p>
    <w:p>
      <w:pPr>
        <w:pStyle w:val="621"/>
        <w:jc w:val="both"/>
      </w:pPr>
      <w:r/>
      <w:r/>
    </w:p>
    <w:p>
      <w:pPr>
        <w:pStyle w:val="621"/>
      </w:pPr>
      <w:r>
        <w:t xml:space="preserve">Глава Тайшетского</w:t>
      </w:r>
      <w:r/>
    </w:p>
    <w:p>
      <w:pPr>
        <w:pStyle w:val="621"/>
      </w:pPr>
      <w:r>
        <w:t xml:space="preserve">городского поселения</w:t>
      </w:r>
      <w:r>
        <w:tab/>
        <w:tab/>
        <w:tab/>
        <w:tab/>
        <w:tab/>
        <w:tab/>
        <w:tab/>
        <w:t xml:space="preserve">Р.О. Леоненко</w:t>
      </w:r>
      <w:r/>
    </w:p>
    <w:p>
      <w:pPr>
        <w:pStyle w:val="621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21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21"/>
        <w:rPr>
          <w:sz w:val="24"/>
          <w:szCs w:val="24"/>
        </w:rPr>
      </w:pPr>
      <w:r>
        <w:rPr>
          <w:sz w:val="24"/>
          <w:szCs w:val="24"/>
        </w:rPr>
        <w:t xml:space="preserve">Исп.: </w:t>
      </w:r>
      <w:r>
        <w:rPr>
          <w:sz w:val="24"/>
          <w:szCs w:val="24"/>
        </w:rPr>
        <w:t xml:space="preserve">В.Н. Ковалева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21"/>
        <w:rPr>
          <w:sz w:val="24"/>
          <w:szCs w:val="24"/>
        </w:rPr>
      </w:pPr>
      <w:r>
        <w:rPr>
          <w:sz w:val="24"/>
          <w:szCs w:val="24"/>
        </w:rPr>
        <w:t xml:space="preserve">тел. 2-05-51</w:t>
      </w:r>
      <w:r>
        <w:rPr>
          <w:sz w:val="24"/>
          <w:szCs w:val="24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Courier New">
    <w:panose1 w:val="02070409020205020404"/>
  </w:font>
  <w:font w:name="Arial">
    <w:panose1 w:val="020B060402020202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21"/>
    <w:next w:val="621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21"/>
    <w:next w:val="621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21"/>
    <w:next w:val="621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21"/>
    <w:next w:val="621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21"/>
    <w:next w:val="621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21"/>
    <w:next w:val="621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21"/>
    <w:next w:val="621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21"/>
    <w:next w:val="621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21"/>
    <w:next w:val="621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21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21"/>
    <w:next w:val="621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21"/>
    <w:next w:val="621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21"/>
    <w:next w:val="621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21"/>
    <w:next w:val="621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21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21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21"/>
    <w:next w:val="62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3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21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21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21"/>
    <w:next w:val="621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21"/>
    <w:next w:val="621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21"/>
    <w:next w:val="621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21"/>
    <w:next w:val="621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21"/>
    <w:next w:val="621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21"/>
    <w:next w:val="621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21"/>
    <w:next w:val="621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21"/>
    <w:next w:val="621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21"/>
    <w:next w:val="621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21"/>
    <w:next w:val="621"/>
    <w:uiPriority w:val="99"/>
    <w:unhideWhenUsed/>
    <w:pPr>
      <w:spacing w:after="0" w:afterAutospacing="0"/>
    </w:pPr>
  </w:style>
  <w:style w:type="paragraph" w:styleId="621" w:default="1">
    <w:name w:val="Normal"/>
    <w:next w:val="621"/>
    <w:link w:val="621"/>
    <w:qFormat/>
    <w:rPr>
      <w:sz w:val="24"/>
      <w:szCs w:val="24"/>
      <w:lang w:val="ru-RU" w:eastAsia="ru-RU" w:bidi="ar-SA"/>
    </w:rPr>
  </w:style>
  <w:style w:type="paragraph" w:styleId="622">
    <w:name w:val="Заголовок 1"/>
    <w:basedOn w:val="621"/>
    <w:next w:val="622"/>
    <w:link w:val="634"/>
    <w:uiPriority w:val="9"/>
    <w:qFormat/>
    <w:pPr>
      <w:ind w:left="141" w:right="354"/>
      <w:jc w:val="center"/>
      <w:widowControl w:val="off"/>
      <w:outlineLvl w:val="0"/>
    </w:pPr>
    <w:rPr>
      <w:b/>
      <w:bCs/>
      <w:sz w:val="28"/>
      <w:szCs w:val="28"/>
      <w:lang w:eastAsia="en-US"/>
    </w:rPr>
  </w:style>
  <w:style w:type="character" w:styleId="623">
    <w:name w:val="Основной шрифт абзаца"/>
    <w:next w:val="623"/>
    <w:link w:val="621"/>
    <w:semiHidden/>
  </w:style>
  <w:style w:type="table" w:styleId="624">
    <w:name w:val="Обычная таблица"/>
    <w:next w:val="624"/>
    <w:link w:val="621"/>
    <w:semiHidden/>
    <w:tblPr/>
  </w:style>
  <w:style w:type="numbering" w:styleId="625">
    <w:name w:val="Нет списка"/>
    <w:next w:val="625"/>
    <w:link w:val="621"/>
    <w:semiHidden/>
  </w:style>
  <w:style w:type="character" w:styleId="626">
    <w:name w:val="Гиперссылка"/>
    <w:basedOn w:val="623"/>
    <w:next w:val="626"/>
    <w:link w:val="621"/>
    <w:rPr>
      <w:color w:val="0000ff"/>
      <w:u w:val="single"/>
    </w:rPr>
  </w:style>
  <w:style w:type="paragraph" w:styleId="627">
    <w:name w:val="Основной текст"/>
    <w:basedOn w:val="621"/>
    <w:next w:val="627"/>
    <w:link w:val="621"/>
    <w:rPr>
      <w:szCs w:val="20"/>
    </w:rPr>
  </w:style>
  <w:style w:type="paragraph" w:styleId="628">
    <w:name w:val="ConsPlusNonformat"/>
    <w:next w:val="628"/>
    <w:link w:val="621"/>
    <w:rPr>
      <w:rFonts w:ascii="Courier New" w:hAnsi="Courier New" w:cs="Courier New"/>
      <w:lang w:val="ru-RU" w:eastAsia="ru-RU" w:bidi="ar-SA"/>
    </w:rPr>
  </w:style>
  <w:style w:type="paragraph" w:styleId="629">
    <w:name w:val="ConsPlusNormal"/>
    <w:next w:val="629"/>
    <w:link w:val="621"/>
    <w:rPr>
      <w:sz w:val="24"/>
      <w:szCs w:val="24"/>
      <w:lang w:val="ru-RU" w:eastAsia="ru-RU" w:bidi="ar-SA"/>
    </w:rPr>
  </w:style>
  <w:style w:type="paragraph" w:styleId="630">
    <w:name w:val="Верхний колонтитул"/>
    <w:basedOn w:val="621"/>
    <w:next w:val="630"/>
    <w:link w:val="631"/>
    <w:pPr>
      <w:tabs>
        <w:tab w:val="center" w:pos="4677" w:leader="none"/>
        <w:tab w:val="right" w:pos="9355" w:leader="none"/>
      </w:tabs>
    </w:pPr>
  </w:style>
  <w:style w:type="character" w:styleId="631">
    <w:name w:val="Верхний колонтитул Знак"/>
    <w:basedOn w:val="623"/>
    <w:next w:val="631"/>
    <w:link w:val="630"/>
    <w:rPr>
      <w:sz w:val="24"/>
      <w:szCs w:val="24"/>
    </w:rPr>
  </w:style>
  <w:style w:type="paragraph" w:styleId="632">
    <w:name w:val="Нижний колонтитул"/>
    <w:basedOn w:val="621"/>
    <w:next w:val="632"/>
    <w:link w:val="633"/>
    <w:pPr>
      <w:tabs>
        <w:tab w:val="center" w:pos="4677" w:leader="none"/>
        <w:tab w:val="right" w:pos="9355" w:leader="none"/>
      </w:tabs>
    </w:pPr>
  </w:style>
  <w:style w:type="character" w:styleId="633">
    <w:name w:val="Нижний колонтитул Знак"/>
    <w:basedOn w:val="623"/>
    <w:next w:val="633"/>
    <w:link w:val="632"/>
    <w:rPr>
      <w:sz w:val="24"/>
      <w:szCs w:val="24"/>
    </w:rPr>
  </w:style>
  <w:style w:type="character" w:styleId="634">
    <w:name w:val="Заголовок 1 Знак"/>
    <w:basedOn w:val="623"/>
    <w:next w:val="634"/>
    <w:link w:val="622"/>
    <w:uiPriority w:val="9"/>
    <w:rPr>
      <w:b/>
      <w:bCs/>
      <w:sz w:val="28"/>
      <w:szCs w:val="28"/>
      <w:lang w:eastAsia="en-US"/>
    </w:rPr>
  </w:style>
  <w:style w:type="table" w:styleId="635">
    <w:name w:val="Table Normal"/>
    <w:next w:val="635"/>
    <w:link w:val="621"/>
    <w:uiPriority w:val="2"/>
    <w:semiHidden/>
    <w:unhideWhenUsed/>
    <w:qFormat/>
    <w:pPr>
      <w:widowControl w:val="off"/>
    </w:pPr>
    <w:rPr>
      <w:rFonts w:ascii="Calibri" w:hAnsi="Calibri" w:eastAsia="Calibri"/>
      <w:sz w:val="22"/>
      <w:szCs w:val="22"/>
      <w:lang w:val="en-US" w:eastAsia="en-US" w:bidi="ar-SA"/>
    </w:rPr>
    <w:tblPr/>
  </w:style>
  <w:style w:type="paragraph" w:styleId="636">
    <w:name w:val="Table Paragraph"/>
    <w:basedOn w:val="621"/>
    <w:next w:val="636"/>
    <w:link w:val="621"/>
    <w:uiPriority w:val="1"/>
    <w:qFormat/>
    <w:pPr>
      <w:widowControl w:val="off"/>
    </w:pPr>
    <w:rPr>
      <w:sz w:val="22"/>
      <w:szCs w:val="22"/>
      <w:lang w:eastAsia="en-US"/>
    </w:rPr>
  </w:style>
  <w:style w:type="character" w:styleId="1857" w:default="1">
    <w:name w:val="Default Paragraph Font"/>
    <w:uiPriority w:val="1"/>
    <w:semiHidden/>
    <w:unhideWhenUsed/>
  </w:style>
  <w:style w:type="numbering" w:styleId="1858" w:default="1">
    <w:name w:val="No List"/>
    <w:uiPriority w:val="99"/>
    <w:semiHidden/>
    <w:unhideWhenUsed/>
  </w:style>
  <w:style w:type="table" w:styleId="1859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111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Arhitekt1</dc:creator>
  <cp:revision>24</cp:revision>
  <dcterms:created xsi:type="dcterms:W3CDTF">2015-11-13T01:07:00Z</dcterms:created>
  <dcterms:modified xsi:type="dcterms:W3CDTF">2025-05-13T06:49:12Z</dcterms:modified>
  <cp:version>786432</cp:version>
</cp:coreProperties>
</file>