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docProps/custom.xml" ContentType="application/vnd.openxmlformats-officedocument.custom-properties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Российская Федерация</w:t>
      </w:r>
      <w:r>
        <w:rPr>
          <w:b/>
          <w:sz w:val="24"/>
          <w:szCs w:val="24"/>
        </w:rPr>
      </w:r>
      <w:r>
        <w:rPr>
          <w:b/>
          <w:sz w:val="24"/>
          <w:szCs w:val="24"/>
        </w:rPr>
      </w:r>
    </w:p>
    <w:p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Иркутская область</w:t>
      </w:r>
      <w:r>
        <w:rPr>
          <w:b/>
          <w:sz w:val="24"/>
          <w:szCs w:val="24"/>
        </w:rPr>
      </w:r>
      <w:r>
        <w:rPr>
          <w:b/>
          <w:sz w:val="24"/>
          <w:szCs w:val="24"/>
        </w:rPr>
      </w:r>
    </w:p>
    <w:p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Муниципальное образование «Тайшетский район» </w:t>
      </w:r>
      <w:r>
        <w:rPr>
          <w:b/>
          <w:sz w:val="24"/>
          <w:szCs w:val="24"/>
        </w:rPr>
      </w:r>
      <w:r>
        <w:rPr>
          <w:b/>
          <w:sz w:val="24"/>
          <w:szCs w:val="24"/>
        </w:rPr>
      </w:r>
    </w:p>
    <w:p>
      <w:pPr>
        <w:jc w:val="center"/>
        <w:rPr>
          <w:b/>
          <w:bCs/>
          <w:sz w:val="24"/>
          <w:szCs w:val="24"/>
          <w:highlight w:val="none"/>
        </w:rPr>
      </w:pPr>
      <w:r>
        <w:rPr>
          <w:b/>
          <w:sz w:val="24"/>
          <w:szCs w:val="24"/>
        </w:rPr>
        <w:t xml:space="preserve">Тайшетское муниципальное образование</w:t>
      </w:r>
      <w:r>
        <w:rPr>
          <w:b/>
          <w:sz w:val="24"/>
          <w:szCs w:val="24"/>
        </w:rPr>
      </w:r>
      <w:r>
        <w:rPr>
          <w:b/>
          <w:bCs/>
          <w:sz w:val="24"/>
          <w:szCs w:val="24"/>
          <w:highlight w:val="none"/>
        </w:rPr>
      </w:r>
    </w:p>
    <w:p>
      <w:pPr>
        <w:jc w:val="center"/>
        <w:rPr>
          <w:b/>
          <w:bCs/>
          <w:sz w:val="24"/>
          <w:szCs w:val="24"/>
        </w:rPr>
      </w:pPr>
      <w:r>
        <w:rPr>
          <w:b/>
          <w:sz w:val="24"/>
          <w:szCs w:val="24"/>
          <w:highlight w:val="none"/>
        </w:rPr>
        <w:t xml:space="preserve">«Тайшетское городское поселение»</w:t>
      </w:r>
      <w:r>
        <w:rPr>
          <w:b/>
          <w:sz w:val="24"/>
          <w:szCs w:val="24"/>
          <w:highlight w:val="none"/>
        </w:rPr>
      </w:r>
    </w:p>
    <w:p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</w:t>
      </w:r>
      <w:r>
        <w:rPr>
          <w:b/>
          <w:sz w:val="28"/>
          <w:szCs w:val="28"/>
        </w:rPr>
        <w:t xml:space="preserve"> ТАЙШЕТСКОГО ГОРОДСКОГО ПОСЕЛЕНИЯ 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jc w:val="center"/>
        <w:rPr>
          <w:sz w:val="24"/>
          <w:szCs w:val="24"/>
        </w:rPr>
      </w:pPr>
      <w:r>
        <w:rPr>
          <w:sz w:val="16"/>
          <w:szCs w:val="16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</w:t>
      </w:r>
      <w:r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О</w:t>
      </w:r>
      <w:r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С</w:t>
      </w:r>
      <w:r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Т</w:t>
      </w:r>
      <w:r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А</w:t>
      </w:r>
      <w:r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Н</w:t>
      </w:r>
      <w:r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О</w:t>
      </w:r>
      <w:r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В</w:t>
      </w:r>
      <w:r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Л</w:t>
      </w:r>
      <w:r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Е</w:t>
      </w:r>
      <w:r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Н</w:t>
      </w:r>
      <w:r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И</w:t>
      </w:r>
      <w:r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Е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jc w:val="both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rPr>
          <w:sz w:val="24"/>
          <w:szCs w:val="24"/>
        </w:rPr>
      </w:pPr>
      <w:r>
        <w:rPr>
          <w:sz w:val="24"/>
          <w:szCs w:val="24"/>
        </w:rPr>
        <w:t xml:space="preserve">От 22.05.2025 г.</w:t>
        <w:tab/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г.Тайшет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№411</w:t>
      </w:r>
      <w:r>
        <w:rPr>
          <w:sz w:val="24"/>
          <w:szCs w:val="24"/>
        </w:rPr>
      </w:r>
    </w:p>
    <w:p>
      <w:pPr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ind w:right="4989" w:firstLine="0"/>
        <w:jc w:val="both"/>
        <w:rPr>
          <w:sz w:val="24"/>
          <w:szCs w:val="24"/>
        </w:rPr>
        <w:suppressLineNumbers w:val="0"/>
      </w:pPr>
      <w:r>
        <w:rPr>
          <w:sz w:val="24"/>
          <w:szCs w:val="24"/>
        </w:rPr>
        <w:t xml:space="preserve">О внесение изменений в техническое задание</w:t>
      </w:r>
      <w:r>
        <w:rPr>
          <w:sz w:val="24"/>
          <w:szCs w:val="24"/>
        </w:rPr>
        <w:t xml:space="preserve"> на разработку инвестиционной программы </w:t>
      </w: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  <w:t xml:space="preserve">ООО «Биоочистка</w:t>
      </w:r>
      <w:r>
        <w:rPr>
          <w:sz w:val="24"/>
          <w:szCs w:val="24"/>
        </w:rPr>
        <w:t xml:space="preserve">» </w:t>
      </w: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ind w:firstLine="709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ind w:firstLine="720"/>
        <w:jc w:val="both"/>
        <w:rPr>
          <w:sz w:val="24"/>
          <w:szCs w:val="24"/>
        </w:rPr>
        <w:suppressLineNumbers w:val="0"/>
      </w:pPr>
      <w:r>
        <w:rPr>
          <w:sz w:val="24"/>
          <w:szCs w:val="24"/>
        </w:rPr>
      </w:r>
      <w:r>
        <w:rPr>
          <w:sz w:val="24"/>
          <w:szCs w:val="24"/>
        </w:rPr>
        <w:t xml:space="preserve">В целях корректировки показателей технического задания на разработку инвестиционной программы ООО «Биоочистка». руководствуясь ста</w:t>
      </w:r>
      <w:r>
        <w:rPr>
          <w:sz w:val="24"/>
          <w:szCs w:val="24"/>
        </w:rPr>
        <w:t xml:space="preserve">тьей 17 Федерального закона от 06 октября 2003 года №131-ФЗ «Об общих принципах организации местного самоуправления в Российской Федерации», Федеральным законом от 07 декабря 2011 года №416-ФЗ «О водоснабжении и водоотведении», постановлением Правительств</w:t>
      </w:r>
      <w:r>
        <w:rPr>
          <w:sz w:val="24"/>
          <w:szCs w:val="24"/>
        </w:rPr>
        <w:t xml:space="preserve">а Российской Федерации от 29 июля 2013 года №641 «Об инвестиционных и производственных программах организаций, осуществляющих деятельность в сфере водоснабжения и водоотведения»</w:t>
      </w:r>
      <w:r>
        <w:rPr>
          <w:sz w:val="24"/>
          <w:szCs w:val="24"/>
        </w:rPr>
        <w:t xml:space="preserve">,</w:t>
      </w:r>
      <w:r>
        <w:rPr>
          <w:sz w:val="24"/>
          <w:szCs w:val="24"/>
        </w:rPr>
        <w:t xml:space="preserve">Уставом Тайшетского муниципального образования «Тайшетское городское поселение», администрация Тайшетского городского поселения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pStyle w:val="958"/>
        <w:ind w:right="-186"/>
        <w:rPr>
          <w:b/>
          <w:szCs w:val="28"/>
        </w:rPr>
      </w:pPr>
      <w:r>
        <w:rPr>
          <w:b/>
          <w:szCs w:val="28"/>
        </w:rPr>
        <w:t xml:space="preserve">П О С Т А Н О В Л Я Е Т:</w:t>
      </w:r>
      <w:r>
        <w:rPr>
          <w:b/>
          <w:szCs w:val="28"/>
        </w:rPr>
      </w:r>
      <w:r>
        <w:rPr>
          <w:b/>
          <w:szCs w:val="28"/>
        </w:rPr>
      </w:r>
    </w:p>
    <w:p>
      <w:pPr>
        <w:ind w:firstLine="709"/>
        <w:jc w:val="both"/>
        <w:tabs>
          <w:tab w:val="left" w:pos="4500" w:leader="none"/>
          <w:tab w:val="left" w:pos="4680" w:leader="none"/>
          <w:tab w:val="left" w:pos="5220" w:leader="none"/>
        </w:tabs>
        <w:rPr>
          <w:szCs w:val="24"/>
        </w:rPr>
      </w:pPr>
      <w:r>
        <w:rPr>
          <w:szCs w:val="24"/>
        </w:rPr>
      </w:r>
      <w:r>
        <w:rPr>
          <w:szCs w:val="24"/>
        </w:rPr>
      </w:r>
      <w:r>
        <w:rPr>
          <w:szCs w:val="24"/>
        </w:rPr>
      </w:r>
    </w:p>
    <w:p>
      <w:pPr>
        <w:ind w:firstLine="720"/>
        <w:jc w:val="both"/>
        <w:rPr>
          <w:b/>
          <w:bCs/>
          <w:sz w:val="24"/>
          <w:szCs w:val="24"/>
          <w:highlight w:val="white"/>
        </w:rPr>
        <w:suppressLineNumbers w:val="0"/>
      </w:pPr>
      <w:r>
        <w:rPr>
          <w:sz w:val="24"/>
          <w:szCs w:val="24"/>
        </w:rPr>
        <w:t xml:space="preserve">1. Внести изменения в техническое задание на разработку инвестиционной программы ООО «Биоочистка», утвержденное постановлением администрации Тайшетского городского поселения от </w:t>
      </w:r>
      <w:r>
        <w:rPr>
          <w:sz w:val="24"/>
          <w:szCs w:val="24"/>
        </w:rPr>
        <w:t xml:space="preserve">11 апреля 2025 года №290 изложив его в новой редакции (прилагается).</w:t>
      </w:r>
      <w:r>
        <w:rPr>
          <w:b/>
          <w:bCs/>
          <w:sz w:val="24"/>
          <w:szCs w:val="24"/>
          <w:highlight w:val="white"/>
        </w:rPr>
      </w:r>
      <w:r>
        <w:rPr>
          <w:b/>
          <w:bCs/>
          <w:sz w:val="24"/>
          <w:szCs w:val="24"/>
          <w:highlight w:val="white"/>
        </w:rPr>
      </w:r>
    </w:p>
    <w:p>
      <w:pPr>
        <w:ind w:firstLine="720"/>
        <w:jc w:val="both"/>
        <w:rPr>
          <w:sz w:val="24"/>
          <w:szCs w:val="24"/>
        </w:rPr>
        <w:suppressLineNumbers w:val="0"/>
      </w:pPr>
      <w:r>
        <w:rPr>
          <w:sz w:val="24"/>
          <w:szCs w:val="24"/>
        </w:rPr>
        <w:t xml:space="preserve">2. Начальнику отдела по организационной работе, контролю и делопроизводству администрации Тайшетского городского поселения В.Д. Бычковой обеспечить опубликование настоящего постановления в бюллетене «Вестник Тайшетского городского поселения»</w:t>
      </w:r>
      <w:r>
        <w:rPr>
          <w:color w:val="22272f"/>
          <w:sz w:val="24"/>
          <w:szCs w:val="24"/>
        </w:rPr>
        <w:t xml:space="preserve"> и размещение на официальном сайте </w:t>
      </w:r>
      <w:r>
        <w:rPr>
          <w:sz w:val="24"/>
          <w:szCs w:val="24"/>
        </w:rPr>
        <w:t xml:space="preserve">администрации Тайшетского городского поселения в информационно-телекоммуникационной сети «Интернет»</w:t>
      </w:r>
      <w:r>
        <w:rPr>
          <w:color w:val="22272f"/>
          <w:sz w:val="24"/>
          <w:szCs w:val="24"/>
        </w:rPr>
        <w:t xml:space="preserve">.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ind w:firstLine="720"/>
        <w:jc w:val="both"/>
        <w:rPr>
          <w:sz w:val="24"/>
          <w:szCs w:val="24"/>
        </w:rPr>
        <w:suppressLineNumbers w:val="0"/>
      </w:pPr>
      <w:r>
        <w:rPr>
          <w:sz w:val="24"/>
          <w:szCs w:val="24"/>
        </w:rPr>
        <w:t xml:space="preserve">3. Контроль за исполнением настоящего постановления возложить на заместителя главы Тайшетского городского поселения В.В.Захарича.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jc w:val="both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jc w:val="both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jc w:val="both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jc w:val="both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Глава Тайшетского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rPr>
          <w:sz w:val="24"/>
          <w:szCs w:val="24"/>
        </w:rPr>
      </w:pPr>
      <w:r>
        <w:rPr>
          <w:sz w:val="24"/>
          <w:szCs w:val="24"/>
        </w:rPr>
        <w:t xml:space="preserve">городского поселения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Р.О. Леоненко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pStyle w:val="987"/>
        <w:ind w:firstLine="0"/>
        <w:jc w:val="left"/>
        <w:tabs>
          <w:tab w:val="left" w:pos="720" w:leader="none"/>
        </w:tabs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pStyle w:val="987"/>
        <w:ind w:firstLine="0"/>
        <w:jc w:val="left"/>
        <w:tabs>
          <w:tab w:val="left" w:pos="720" w:leader="none"/>
        </w:tabs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pStyle w:val="987"/>
        <w:ind w:firstLine="0"/>
        <w:jc w:val="left"/>
        <w:tabs>
          <w:tab w:val="left" w:pos="720" w:leader="none"/>
        </w:tabs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pStyle w:val="987"/>
        <w:ind w:firstLine="0"/>
        <w:jc w:val="left"/>
        <w:tabs>
          <w:tab w:val="left" w:pos="720" w:leader="none"/>
        </w:tabs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pStyle w:val="987"/>
        <w:ind w:firstLine="0"/>
        <w:jc w:val="left"/>
        <w:tabs>
          <w:tab w:val="left" w:pos="720" w:leader="none"/>
        </w:tabs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pStyle w:val="987"/>
        <w:ind w:firstLine="0"/>
        <w:jc w:val="left"/>
        <w:tabs>
          <w:tab w:val="left" w:pos="720" w:leader="none"/>
        </w:tabs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pStyle w:val="987"/>
        <w:ind w:firstLine="0"/>
        <w:jc w:val="left"/>
        <w:tabs>
          <w:tab w:val="left" w:pos="720" w:leader="none"/>
        </w:tabs>
        <w:rPr>
          <w:sz w:val="24"/>
          <w:szCs w:val="24"/>
        </w:rPr>
      </w:pPr>
      <w:r>
        <w:rPr>
          <w:sz w:val="24"/>
          <w:szCs w:val="24"/>
        </w:rPr>
        <w:t xml:space="preserve">Исп.: Крюк.В.И.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pStyle w:val="987"/>
        <w:ind w:firstLine="0"/>
        <w:jc w:val="left"/>
        <w:tabs>
          <w:tab w:val="left" w:pos="720" w:leader="none"/>
        </w:tabs>
        <w:rPr>
          <w:sz w:val="24"/>
          <w:szCs w:val="24"/>
          <w:highlight w:val="none"/>
        </w:rPr>
      </w:pPr>
      <w:r>
        <w:rPr>
          <w:sz w:val="24"/>
          <w:szCs w:val="24"/>
        </w:rPr>
        <w:t xml:space="preserve">тел. 2-04-27</w:t>
      </w:r>
      <w:r>
        <w:rPr>
          <w:sz w:val="24"/>
          <w:szCs w:val="24"/>
          <w:highlight w:val="none"/>
        </w:rPr>
      </w:r>
      <w:r>
        <w:rPr>
          <w:sz w:val="24"/>
          <w:szCs w:val="24"/>
          <w:highlight w:val="none"/>
        </w:rPr>
      </w:r>
    </w:p>
    <w:p>
      <w:pPr>
        <w:pStyle w:val="915"/>
        <w:ind w:left="4395" w:firstLine="0"/>
        <w:jc w:val="right"/>
        <w:spacing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Приложение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pStyle w:val="915"/>
        <w:jc w:val="right"/>
        <w:spacing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к постановлению администрации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pStyle w:val="915"/>
        <w:jc w:val="right"/>
        <w:spacing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Тайшетского городского поселения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pStyle w:val="915"/>
        <w:ind w:left="4395" w:firstLine="0"/>
        <w:jc w:val="right"/>
        <w:spacing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от 22 мая 2025 года №411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pStyle w:val="915"/>
        <w:ind w:firstLine="709"/>
        <w:jc w:val="center"/>
        <w:spacing w:line="240" w:lineRule="auto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pStyle w:val="915"/>
        <w:ind w:firstLine="0"/>
        <w:jc w:val="center"/>
        <w:spacing w:line="240" w:lineRule="auto"/>
        <w:rPr>
          <w:b/>
          <w:sz w:val="24"/>
          <w:szCs w:val="24"/>
        </w:rPr>
        <w:suppressLineNumbers w:val="0"/>
      </w:pPr>
      <w:r>
        <w:rPr>
          <w:b/>
          <w:sz w:val="24"/>
          <w:szCs w:val="24"/>
        </w:rPr>
        <w:t xml:space="preserve">«Техническое задание</w:t>
      </w:r>
      <w:r>
        <w:rPr>
          <w:b/>
          <w:sz w:val="24"/>
          <w:szCs w:val="24"/>
        </w:rPr>
      </w:r>
      <w:r>
        <w:rPr>
          <w:b/>
          <w:sz w:val="24"/>
          <w:szCs w:val="24"/>
        </w:rPr>
      </w:r>
    </w:p>
    <w:p>
      <w:pPr>
        <w:pStyle w:val="915"/>
        <w:ind w:firstLine="0"/>
        <w:jc w:val="center"/>
        <w:spacing w:line="240" w:lineRule="auto"/>
        <w:rPr>
          <w:b/>
          <w:sz w:val="24"/>
          <w:szCs w:val="24"/>
        </w:rPr>
        <w:suppressLineNumbers w:val="0"/>
      </w:pPr>
      <w:r>
        <w:rPr>
          <w:b/>
          <w:sz w:val="24"/>
          <w:szCs w:val="24"/>
        </w:rPr>
        <w:t xml:space="preserve">на разработку инвестиционной программы ООО «Биоочистка» </w:t>
      </w:r>
      <w:r>
        <w:rPr>
          <w:b/>
          <w:sz w:val="24"/>
          <w:szCs w:val="24"/>
        </w:rPr>
      </w:r>
      <w:r>
        <w:rPr>
          <w:b/>
          <w:sz w:val="24"/>
          <w:szCs w:val="24"/>
        </w:rPr>
      </w:r>
    </w:p>
    <w:p>
      <w:pPr>
        <w:pStyle w:val="915"/>
        <w:ind w:firstLine="0"/>
        <w:jc w:val="center"/>
        <w:spacing w:line="240" w:lineRule="auto"/>
        <w:rPr>
          <w:b/>
          <w:bCs/>
          <w:sz w:val="24"/>
          <w:szCs w:val="24"/>
          <w:highlight w:val="white"/>
        </w:rPr>
        <w:suppressLineNumbers w:val="0"/>
      </w:pPr>
      <w:r>
        <w:rPr>
          <w:b/>
          <w:bCs/>
          <w:sz w:val="24"/>
          <w:szCs w:val="24"/>
        </w:rPr>
      </w:r>
      <w:r>
        <w:rPr>
          <w:b/>
          <w:bCs/>
          <w:sz w:val="24"/>
          <w:szCs w:val="24"/>
        </w:rPr>
        <w:t xml:space="preserve">«Строительство, реконструкция </w:t>
      </w:r>
      <w:r>
        <w:rPr>
          <w:b/>
          <w:bCs/>
          <w:sz w:val="24"/>
          <w:szCs w:val="24"/>
        </w:rPr>
      </w:r>
      <w:r>
        <w:rPr>
          <w:b/>
          <w:bCs/>
          <w:sz w:val="24"/>
          <w:szCs w:val="24"/>
          <w:highlight w:val="white"/>
        </w:rPr>
      </w:r>
      <w:r>
        <w:rPr>
          <w:b/>
          <w:bCs/>
          <w:sz w:val="24"/>
          <w:szCs w:val="24"/>
        </w:rPr>
        <w:t xml:space="preserve">и модернизация </w:t>
      </w:r>
      <w:r>
        <w:rPr>
          <w:b/>
          <w:bCs/>
          <w:sz w:val="24"/>
          <w:szCs w:val="24"/>
        </w:rPr>
        <w:t xml:space="preserve">объектов централизованной системы водоотведения</w:t>
      </w:r>
      <w:r>
        <w:rPr>
          <w:b/>
          <w:bCs/>
          <w:sz w:val="24"/>
          <w:szCs w:val="24"/>
        </w:rPr>
        <w:t xml:space="preserve"> на территории Тайшетского городского поселения</w:t>
      </w:r>
      <w:r>
        <w:rPr>
          <w:b/>
          <w:bCs/>
          <w:sz w:val="24"/>
          <w:szCs w:val="24"/>
          <w:highlight w:val="white"/>
        </w:rPr>
        <w:t xml:space="preserve"> </w:t>
      </w:r>
      <w:r>
        <w:rPr>
          <w:b/>
          <w:bCs/>
          <w:sz w:val="24"/>
          <w:szCs w:val="24"/>
        </w:rPr>
      </w:r>
    </w:p>
    <w:p>
      <w:pPr>
        <w:ind w:firstLine="0"/>
        <w:jc w:val="center"/>
        <w:spacing w:line="240" w:lineRule="auto"/>
        <w:rPr>
          <w:b/>
          <w:bCs/>
          <w:sz w:val="24"/>
          <w:szCs w:val="24"/>
        </w:rPr>
        <w:suppressLineNumbers w:val="0"/>
      </w:pPr>
      <w:r>
        <w:rPr>
          <w:b/>
          <w:bCs/>
          <w:sz w:val="24"/>
          <w:szCs w:val="24"/>
          <w:highlight w:val="white"/>
        </w:rPr>
      </w:r>
      <w:r>
        <w:rPr>
          <w:b/>
          <w:bCs/>
          <w:sz w:val="24"/>
          <w:szCs w:val="24"/>
          <w:highlight w:val="white"/>
        </w:rPr>
        <w:t xml:space="preserve">на </w:t>
      </w:r>
      <w:r>
        <w:rPr>
          <w:b/>
          <w:bCs/>
          <w:sz w:val="24"/>
          <w:szCs w:val="24"/>
          <w:highlight w:val="white"/>
        </w:rPr>
        <w:t xml:space="preserve">2025-2028 годы»</w:t>
      </w:r>
      <w:r>
        <w:rPr>
          <w:b/>
          <w:bCs/>
          <w:sz w:val="24"/>
          <w:szCs w:val="24"/>
        </w:rPr>
      </w:r>
      <w:r/>
    </w:p>
    <w:p>
      <w:pPr>
        <w:pStyle w:val="915"/>
        <w:ind w:left="851" w:right="851" w:firstLine="0"/>
        <w:jc w:val="both"/>
        <w:spacing w:line="240" w:lineRule="auto"/>
        <w:rPr>
          <w:b w:val="0"/>
          <w:bCs w:val="0"/>
          <w:sz w:val="24"/>
          <w:szCs w:val="24"/>
          <w:highlight w:val="none"/>
        </w:rPr>
      </w:pP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  <w:highlight w:val="none"/>
        </w:rPr>
      </w:r>
      <w:r>
        <w:rPr>
          <w:b w:val="0"/>
          <w:bCs w:val="0"/>
          <w:sz w:val="24"/>
          <w:szCs w:val="24"/>
          <w:highlight w:val="none"/>
        </w:rPr>
      </w:r>
    </w:p>
    <w:tbl>
      <w:tblPr>
        <w:tblW w:w="9071" w:type="dxa"/>
        <w:tblInd w:w="391" w:type="dxa"/>
        <w:tblLayout w:type="fixed"/>
        <w:tblCellMar>
          <w:left w:w="108" w:type="dxa"/>
          <w:top w:w="0" w:type="dxa"/>
          <w:right w:w="108" w:type="dxa"/>
          <w:bottom w:w="0" w:type="dxa"/>
        </w:tblCellMar>
        <w:tblLook w:val="01E0" w:firstRow="1" w:lastRow="1" w:firstColumn="1" w:lastColumn="1" w:noHBand="0" w:noVBand="0"/>
      </w:tblPr>
      <w:tblGrid>
        <w:gridCol w:w="2126"/>
        <w:gridCol w:w="6945"/>
      </w:tblGrid>
      <w:tr>
        <w:tblPrEx/>
        <w:trPr>
          <w:trHeight w:val="266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6" w:type="dxa"/>
            <w:textDirection w:val="lrTb"/>
            <w:noWrap w:val="false"/>
          </w:tcPr>
          <w:p>
            <w:pPr>
              <w:pStyle w:val="915"/>
              <w:jc w:val="both"/>
              <w:spacing w:line="240" w:lineRule="auto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 xml:space="preserve">Заказчик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945" w:type="dxa"/>
            <w:textDirection w:val="lrTb"/>
            <w:noWrap w:val="false"/>
          </w:tcPr>
          <w:p>
            <w:pPr>
              <w:pStyle w:val="915"/>
              <w:jc w:val="both"/>
              <w:spacing w:line="240" w:lineRule="auto"/>
              <w:widowControl w:val="off"/>
              <w:tabs>
                <w:tab w:val="clear" w:pos="708" w:leader="none"/>
                <w:tab w:val="left" w:pos="5733" w:leader="none"/>
              </w:tabs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eastAsia="Times New Roman" w:cs="Times New Roman"/>
                <w:bCs/>
                <w:sz w:val="24"/>
                <w:szCs w:val="24"/>
              </w:rPr>
              <w:t xml:space="preserve">Администрация Тайшетского городского поселения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6" w:type="dxa"/>
            <w:textDirection w:val="lrTb"/>
            <w:noWrap w:val="false"/>
          </w:tcPr>
          <w:p>
            <w:pPr>
              <w:pStyle w:val="915"/>
              <w:jc w:val="both"/>
              <w:spacing w:line="240" w:lineRule="auto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bCs/>
                <w:sz w:val="24"/>
                <w:szCs w:val="24"/>
              </w:rPr>
              <w:t xml:space="preserve">Исполнитель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945" w:type="dxa"/>
            <w:textDirection w:val="lrTb"/>
            <w:noWrap w:val="false"/>
          </w:tcPr>
          <w:p>
            <w:pPr>
              <w:pStyle w:val="915"/>
              <w:jc w:val="both"/>
              <w:spacing w:line="240" w:lineRule="auto"/>
              <w:widowControl w:val="off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eastAsia="Times New Roman" w:cs="Times New Roman"/>
                <w:bCs/>
                <w:sz w:val="24"/>
                <w:szCs w:val="24"/>
              </w:rPr>
              <w:t xml:space="preserve">ООО «Биоочистка»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</w:p>
        </w:tc>
      </w:tr>
      <w:tr>
        <w:tblPrEx/>
        <w:trPr>
          <w:trHeight w:val="502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6" w:type="dxa"/>
            <w:textDirection w:val="lrTb"/>
            <w:noWrap w:val="false"/>
          </w:tcPr>
          <w:p>
            <w:pPr>
              <w:pStyle w:val="915"/>
              <w:jc w:val="both"/>
              <w:spacing w:line="240" w:lineRule="auto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bCs/>
                <w:sz w:val="24"/>
                <w:szCs w:val="24"/>
              </w:rPr>
              <w:t xml:space="preserve">Координатор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945" w:type="dxa"/>
            <w:textDirection w:val="lrTb"/>
            <w:noWrap w:val="false"/>
          </w:tcPr>
          <w:p>
            <w:pPr>
              <w:pStyle w:val="915"/>
              <w:jc w:val="both"/>
              <w:spacing w:line="240" w:lineRule="auto"/>
              <w:widowControl w:val="off"/>
              <w:tabs>
                <w:tab w:val="clear" w:pos="708" w:leader="none"/>
                <w:tab w:val="left" w:pos="5733" w:leader="none"/>
              </w:tabs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eastAsia="Times New Roman" w:cs="Times New Roman"/>
                <w:bCs/>
                <w:sz w:val="24"/>
                <w:szCs w:val="24"/>
              </w:rPr>
              <w:t xml:space="preserve"> </w:t>
            </w:r>
            <w:r>
              <w:rPr>
                <w:rFonts w:eastAsia="Times New Roman" w:cs="Times New Roman"/>
                <w:bCs/>
                <w:sz w:val="24"/>
                <w:szCs w:val="24"/>
              </w:rPr>
              <w:t xml:space="preserve">Отдел жилищно-коммунального хозяйства администрации Тайшетского городского поселения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6" w:type="dxa"/>
            <w:textDirection w:val="lrTb"/>
            <w:noWrap w:val="false"/>
          </w:tcPr>
          <w:p>
            <w:pPr>
              <w:pStyle w:val="915"/>
              <w:jc w:val="both"/>
              <w:spacing w:line="240" w:lineRule="auto"/>
              <w:widowControl w:val="off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eastAsia="Times New Roman" w:cs="Times New Roman"/>
                <w:bCs/>
                <w:sz w:val="24"/>
                <w:szCs w:val="24"/>
              </w:rPr>
              <w:t xml:space="preserve">Предмет технического 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  <w:r>
              <w:rPr>
                <w:rFonts w:eastAsia="Times New Roman" w:cs="Times New Roman"/>
                <w:bCs/>
                <w:sz w:val="24"/>
                <w:szCs w:val="24"/>
              </w:rPr>
              <w:t xml:space="preserve">задания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945" w:type="dxa"/>
            <w:textDirection w:val="lrTb"/>
            <w:noWrap w:val="false"/>
          </w:tcPr>
          <w:p>
            <w:pPr>
              <w:pStyle w:val="986"/>
              <w:ind w:left="0" w:firstLine="0"/>
              <w:jc w:val="both"/>
              <w:spacing w:line="240" w:lineRule="auto"/>
              <w:widowControl w:val="off"/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  <w:lang w:val="ru-RU"/>
              </w:rPr>
            </w:pPr>
            <w:r>
              <w:rPr>
                <w:rFonts w:ascii="Times New Roman" w:hAnsi="Times New Roman" w:cs="Times New Roman"/>
                <w:b w:val="0"/>
                <w:bCs w:val="0"/>
                <w:color w:val="000000"/>
                <w:spacing w:val="2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val="ru-RU"/>
              </w:rPr>
              <w:t xml:space="preserve">Развитие системы централизованного водоотведения и обеспечение надежности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white"/>
                <w:shd w:val="clear" w:color="auto" w:fill="ffc000"/>
                <w:lang w:val="ru-RU"/>
              </w:rPr>
              <w:t xml:space="preserve">водоотведения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white"/>
                <w:lang w:val="ru-RU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val="ru-RU"/>
              </w:rPr>
              <w:t xml:space="preserve">в Тайшетском городском поселении.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  <w:lang w:val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  <w:lang w:val="ru-RU"/>
              </w:rPr>
            </w:r>
          </w:p>
          <w:p>
            <w:pPr>
              <w:pStyle w:val="986"/>
              <w:ind w:left="0" w:firstLine="0"/>
              <w:jc w:val="both"/>
              <w:spacing w:line="240" w:lineRule="auto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val="ru-RU"/>
              </w:rPr>
              <w:t xml:space="preserve">Улучшение работы системы водоотведения.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both"/>
              <w:spacing w:line="240" w:lineRule="auto"/>
              <w:shd w:val="clear" w:color="auto" w:fill="ffffff"/>
              <w:widowControl w:val="off"/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  <w:lang w:val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  <w:lang w:val="ru-RU"/>
              </w:rPr>
              <w:t xml:space="preserve">Показатели качества очистки сточных вод.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  <w:lang w:val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  <w:lang w:val="ru-RU"/>
              </w:rPr>
            </w:r>
          </w:p>
          <w:p>
            <w:pPr>
              <w:jc w:val="both"/>
              <w:spacing w:line="240" w:lineRule="auto"/>
              <w:shd w:val="clear" w:color="auto" w:fill="ffffff"/>
              <w:widowControl w:val="off"/>
              <w:rPr>
                <w:rFonts w:ascii="Times New Roman" w:hAnsi="Times New Roman" w:cs="Times New Roman"/>
                <w:b w:val="0"/>
                <w:bCs w:val="0"/>
                <w:color w:val="000000"/>
                <w:spacing w:val="2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  <w:lang w:val="ru-RU"/>
              </w:rPr>
              <w:t xml:space="preserve">Р</w:t>
            </w:r>
            <w:r>
              <w:rPr>
                <w:rFonts w:eastAsia="Times New Roman" w:cs="Times New Roman"/>
                <w:bCs/>
                <w:sz w:val="24"/>
                <w:szCs w:val="24"/>
              </w:rPr>
              <w:t xml:space="preserve">азработка мероприятий по </w:t>
            </w:r>
            <w:r>
              <w:rPr>
                <w:rFonts w:eastAsia="Times New Roman" w:cs="Times New Roman"/>
                <w:b w:val="0"/>
                <w:bCs w:val="0"/>
                <w:sz w:val="24"/>
                <w:szCs w:val="24"/>
                <w:lang w:val="ru-RU"/>
              </w:rPr>
              <w:t xml:space="preserve">о</w:t>
            </w:r>
            <w:r>
              <w:rPr>
                <w:rFonts w:eastAsia="Times New Roman" w:cs="Times New Roman"/>
                <w:b w:val="0"/>
                <w:bCs w:val="0"/>
                <w:sz w:val="24"/>
                <w:szCs w:val="24"/>
                <w:highlight w:val="white"/>
                <w:lang w:val="ru-RU"/>
              </w:rPr>
              <w:t xml:space="preserve">беспечению подключения вновь строящихся (реконструируемых) объектов капитального строительства к системам водоотведения с гарантированным объемом заявленных мощностей</w:t>
            </w:r>
            <w:r>
              <w:rPr>
                <w:rFonts w:eastAsia="Times New Roman" w:cs="Times New Roman"/>
                <w:b w:val="0"/>
                <w:bCs w:val="0"/>
                <w:sz w:val="24"/>
                <w:szCs w:val="24"/>
                <w:lang w:val="ru-RU"/>
              </w:rPr>
              <w:t xml:space="preserve">, </w:t>
            </w:r>
            <w:r>
              <w:rPr>
                <w:rFonts w:eastAsia="Times New Roman" w:cs="Times New Roman"/>
                <w:b w:val="0"/>
                <w:bCs w:val="0"/>
                <w:sz w:val="24"/>
                <w:szCs w:val="24"/>
              </w:rPr>
              <w:t xml:space="preserve">с учетом перспективной схемы развития Тайшетского городского поселения</w:t>
            </w:r>
            <w:r>
              <w:rPr>
                <w:rFonts w:ascii="Times New Roman" w:hAnsi="Times New Roman" w:cs="Times New Roman"/>
                <w:b w:val="0"/>
                <w:bCs w:val="0"/>
                <w:color w:val="000000"/>
                <w:spacing w:val="2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 w:val="0"/>
                <w:bCs w:val="0"/>
                <w:color w:val="000000"/>
                <w:spacing w:val="2"/>
                <w:sz w:val="24"/>
                <w:szCs w:val="24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6" w:type="dxa"/>
            <w:textDirection w:val="lrTb"/>
            <w:noWrap w:val="false"/>
          </w:tcPr>
          <w:p>
            <w:pPr>
              <w:pStyle w:val="915"/>
              <w:jc w:val="both"/>
              <w:spacing w:line="240" w:lineRule="auto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 xml:space="preserve">Основания для разработки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eastAsia="Times New Roman" w:cs="Times New Roman"/>
                <w:sz w:val="24"/>
                <w:szCs w:val="24"/>
              </w:rPr>
              <w:t xml:space="preserve">инвестиционной программы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945" w:type="dxa"/>
            <w:textDirection w:val="lrTb"/>
            <w:noWrap w:val="false"/>
          </w:tcPr>
          <w:p>
            <w:pPr>
              <w:pStyle w:val="986"/>
              <w:ind w:left="0" w:firstLine="0"/>
              <w:jc w:val="both"/>
              <w:spacing w:line="240" w:lineRule="auto"/>
              <w:widowControl w:val="off"/>
              <w:rPr>
                <w:rFonts w:ascii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white"/>
                <w:lang w:val="ru-RU"/>
              </w:rPr>
              <w:t xml:space="preserve">Федеральный закон от 07 декабря 2011 года №416-ФЗ «О водоснабжении и водоотведении»;</w:t>
            </w: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</w:r>
          </w:p>
          <w:p>
            <w:pPr>
              <w:pStyle w:val="986"/>
              <w:ind w:left="0" w:firstLine="0"/>
              <w:jc w:val="both"/>
              <w:spacing w:line="240" w:lineRule="auto"/>
              <w:widowControl w:val="off"/>
              <w:rPr>
                <w:rFonts w:ascii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white"/>
                <w:lang w:val="ru-RU"/>
              </w:rPr>
              <w:t xml:space="preserve">Постановление Правительства Российской Федерации от 13 мая 2013 года №406 «О государственном регулировании тарифов в сфере водоснабжения и водоотведения»;</w:t>
            </w: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</w:r>
          </w:p>
          <w:p>
            <w:pPr>
              <w:pStyle w:val="986"/>
              <w:ind w:left="0" w:firstLine="0"/>
              <w:jc w:val="both"/>
              <w:spacing w:line="240" w:lineRule="auto"/>
              <w:widowControl w:val="off"/>
              <w:rPr>
                <w:rFonts w:ascii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white"/>
                <w:lang w:val="ru-RU"/>
              </w:rPr>
              <w:t xml:space="preserve">Постановление Правительства Российской Федерации от 29 июля 2013 года №641 «Об инвестиционных и производственных программах организаций, осуществляющих деятельность в сфере водоснабжения и водоотведения»;</w:t>
            </w: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</w:r>
          </w:p>
          <w:p>
            <w:pPr>
              <w:pStyle w:val="986"/>
              <w:ind w:left="0" w:firstLine="0"/>
              <w:jc w:val="both"/>
              <w:spacing w:line="240" w:lineRule="auto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val="ru-RU"/>
              </w:rPr>
              <w:t xml:space="preserve">Постановление Правительства Российской Федерации от 05 сентября 2013 года №782 «О схемах водоснабжения и водоотведения»;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986"/>
              <w:ind w:left="0" w:firstLine="0"/>
              <w:jc w:val="both"/>
              <w:spacing w:line="240" w:lineRule="auto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val="ru-RU"/>
              </w:rPr>
              <w:t xml:space="preserve">Приказ Министерства Регионального развития Российской Федерации от 10 октября 2007 года          №100 «Об утверждении методических рекомендаций по  разработке инвестиционных программ организаций коммунального комплекса»;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986"/>
              <w:ind w:left="0" w:firstLine="0"/>
              <w:jc w:val="both"/>
              <w:spacing w:line="240" w:lineRule="auto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val="ru-RU"/>
              </w:rPr>
              <w:t xml:space="preserve">Приказ Министерства регионального развития Российской Федерации от 10 октября 2007 года           №99 «Об утверждении методических рекомендаций по подготовке технических заданий по разработке инвестиционных программ организаций коммунального комплекса»;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986"/>
              <w:ind w:left="0" w:firstLine="0"/>
              <w:jc w:val="both"/>
              <w:spacing w:line="240" w:lineRule="auto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val="ru-RU"/>
              </w:rPr>
              <w:t xml:space="preserve">Постановление Правительства Российской Федерации от 29 июля 2013 года №644 «Об утверждении правил холодного водоснабжения и водоотведения и о внесении изменений в некоторые акты Правительства Российской Федерации»;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986"/>
              <w:ind w:left="0" w:firstLine="0"/>
              <w:jc w:val="both"/>
              <w:spacing w:line="240" w:lineRule="auto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white"/>
                <w:lang w:val="ru-RU"/>
              </w:rPr>
              <w:t xml:space="preserve">Градостроительный кодекс Ро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val="ru-RU"/>
              </w:rPr>
              <w:t xml:space="preserve">ссийской Федерации от 29 декабря 2004 года №190-ФЗ;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986"/>
              <w:ind w:left="46" w:firstLine="0"/>
              <w:jc w:val="both"/>
              <w:spacing w:line="240" w:lineRule="auto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val="ru-RU"/>
              </w:rPr>
              <w:t xml:space="preserve">Схема водоснабжения и водоотведения Тайшетского муниципального образования «Тайшетское городское поселение» на период с 2023 по 2041 годы, утвержденная постановлением администрации Тайшетского городского поселения от 27 июня 2023 года №559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6" w:type="dxa"/>
            <w:textDirection w:val="lrTb"/>
            <w:noWrap w:val="false"/>
          </w:tcPr>
          <w:p>
            <w:pPr>
              <w:pStyle w:val="915"/>
              <w:jc w:val="both"/>
              <w:spacing w:line="240" w:lineRule="auto"/>
              <w:widowControl w:val="off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eastAsia="Times New Roman" w:cs="Times New Roman"/>
                <w:bCs/>
                <w:sz w:val="24"/>
                <w:szCs w:val="24"/>
              </w:rPr>
              <w:t xml:space="preserve">Цели разработки инвести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  <w:r>
              <w:rPr>
                <w:rFonts w:eastAsia="Times New Roman" w:cs="Times New Roman"/>
                <w:bCs/>
                <w:sz w:val="24"/>
                <w:szCs w:val="24"/>
              </w:rPr>
              <w:t xml:space="preserve">ционной программы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945" w:type="dxa"/>
            <w:textDirection w:val="lrTb"/>
            <w:noWrap w:val="false"/>
          </w:tcPr>
          <w:p>
            <w:pPr>
              <w:pStyle w:val="986"/>
              <w:ind w:left="0" w:firstLine="0"/>
              <w:jc w:val="both"/>
              <w:spacing w:line="240" w:lineRule="auto"/>
              <w:widowControl w:val="off"/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  <w:lang w:val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val="ru-RU"/>
              </w:rPr>
              <w:t xml:space="preserve">Развитие системы централизованного водоотведения и обеспечение надежности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white"/>
                <w:shd w:val="clear" w:color="auto" w:fill="ffc000"/>
                <w:lang w:val="ru-RU"/>
              </w:rPr>
              <w:t xml:space="preserve">водоотведения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white"/>
                <w:lang w:val="ru-RU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val="ru-RU"/>
              </w:rPr>
              <w:t xml:space="preserve">в Тайшетском городском поселении.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  <w:lang w:val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  <w:lang w:val="ru-RU"/>
              </w:rPr>
            </w:r>
          </w:p>
          <w:p>
            <w:pPr>
              <w:pStyle w:val="986"/>
              <w:ind w:left="0" w:firstLine="0"/>
              <w:jc w:val="both"/>
              <w:spacing w:line="240" w:lineRule="auto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val="ru-RU"/>
              </w:rPr>
              <w:t xml:space="preserve">Улучшение работы системы водоотведения.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986"/>
              <w:ind w:left="0" w:firstLine="0"/>
              <w:jc w:val="both"/>
              <w:spacing w:line="240" w:lineRule="auto"/>
              <w:widowControl w:val="off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  <w:lang w:val="ru-RU"/>
              </w:rPr>
              <w:t xml:space="preserve">Показатели качества очистки сточных вод.</w:t>
            </w:r>
            <w: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r>
          </w:p>
          <w:p>
            <w:pPr>
              <w:pStyle w:val="986"/>
              <w:ind w:left="0" w:firstLine="0"/>
              <w:jc w:val="both"/>
              <w:spacing w:line="240" w:lineRule="auto"/>
              <w:widowControl w:val="off"/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  <w:lang w:val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white"/>
                <w:lang w:val="ru-RU"/>
              </w:rPr>
              <w:t xml:space="preserve">Обеспечение подключения вновь строящихся (реконструируемых) объектов капитального строительства к системам водоотведения с гарантированным объемом заявленных мощностей.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  <w:lang w:val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  <w:lang w:val="ru-RU"/>
              </w:rPr>
            </w:r>
          </w:p>
          <w:p>
            <w:pPr>
              <w:pStyle w:val="986"/>
              <w:ind w:left="0" w:firstLine="0"/>
              <w:jc w:val="both"/>
              <w:spacing w:line="240" w:lineRule="auto"/>
              <w:widowControl w:val="off"/>
              <w:rPr>
                <w:rFonts w:ascii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white"/>
                <w:lang w:val="ru-RU"/>
              </w:rPr>
              <w:t xml:space="preserve">Обеспечение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white"/>
                <w:lang w:val="ru-RU"/>
              </w:rPr>
              <w:t xml:space="preserve">рационального использования энергоресурсов,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white"/>
                <w:lang w:val="ru-RU"/>
              </w:rPr>
              <w:t xml:space="preserve">в технологическом процессе очистке сточных вод и водоотведения</w:t>
            </w: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</w:r>
          </w:p>
          <w:p>
            <w:pPr>
              <w:pStyle w:val="986"/>
              <w:ind w:left="0" w:firstLine="0"/>
              <w:jc w:val="both"/>
              <w:spacing w:line="240" w:lineRule="auto"/>
              <w:widowControl w:val="off"/>
              <w:rPr>
                <w:rFonts w:ascii="Times New Roman" w:hAnsi="Times New Roman" w:cs="Times New Roman"/>
                <w:sz w:val="24"/>
                <w:szCs w:val="24"/>
                <w:highlight w:val="white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  <w:lang w:val="ru-RU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white"/>
                <w:lang w:val="ru-RU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white"/>
                <w:lang w:val="ru-RU"/>
              </w:rPr>
            </w:r>
          </w:p>
        </w:tc>
      </w:tr>
      <w:tr>
        <w:tblPrEx/>
        <w:trPr>
          <w:trHeight w:val="825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6" w:type="dxa"/>
            <w:vAlign w:val="center"/>
            <w:textDirection w:val="lrTb"/>
            <w:noWrap w:val="false"/>
          </w:tcPr>
          <w:p>
            <w:pPr>
              <w:pStyle w:val="915"/>
              <w:jc w:val="both"/>
              <w:spacing w:line="240" w:lineRule="auto"/>
              <w:widowControl w:val="off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eastAsia="Times New Roman" w:cs="Times New Roman"/>
                <w:bCs/>
                <w:sz w:val="24"/>
                <w:szCs w:val="24"/>
              </w:rPr>
              <w:t xml:space="preserve">Срок разработки и представления инвестиционной программы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  <w:r>
              <w:rPr>
                <w:rFonts w:cs="Times New Roman"/>
                <w:bCs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945" w:type="dxa"/>
            <w:textDirection w:val="lrTb"/>
            <w:noWrap w:val="false"/>
          </w:tcPr>
          <w:p>
            <w:pPr>
              <w:pStyle w:val="987"/>
              <w:ind w:left="0" w:right="0" w:firstLine="0"/>
              <w:spacing w:line="240" w:lineRule="auto"/>
              <w:widowControl w:val="off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 xml:space="preserve">В течение 3-х месяцев с момента утверждения технического задания на разработку инвестиционной программы.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6" w:type="dxa"/>
            <w:vAlign w:val="center"/>
            <w:textDirection w:val="lrTb"/>
            <w:noWrap w:val="false"/>
          </w:tcPr>
          <w:p>
            <w:pPr>
              <w:pStyle w:val="915"/>
              <w:jc w:val="both"/>
              <w:spacing w:line="240" w:lineRule="auto"/>
              <w:widowControl w:val="off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eastAsia="Times New Roman" w:cs="Times New Roman"/>
                <w:bCs/>
                <w:sz w:val="24"/>
                <w:szCs w:val="24"/>
              </w:rPr>
              <w:t xml:space="preserve">Срок реализации инвестиционной программы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945" w:type="dxa"/>
            <w:textDirection w:val="lrTb"/>
            <w:noWrap w:val="false"/>
          </w:tcPr>
          <w:p>
            <w:pPr>
              <w:pStyle w:val="915"/>
              <w:jc w:val="both"/>
              <w:spacing w:line="240" w:lineRule="auto"/>
              <w:widowControl w:val="off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eastAsia="Times New Roman" w:cs="Times New Roman"/>
                <w:bCs/>
                <w:sz w:val="24"/>
                <w:szCs w:val="24"/>
              </w:rPr>
              <w:t xml:space="preserve">2025- 2028 годы.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</w:p>
        </w:tc>
      </w:tr>
    </w:tbl>
    <w:p>
      <w:pPr>
        <w:pStyle w:val="915"/>
        <w:jc w:val="center"/>
        <w:spacing w:line="240" w:lineRule="auto"/>
        <w:rPr>
          <w:rFonts w:ascii="Times New Roman" w:hAnsi="Times New Roman" w:cs="Times New Roman"/>
          <w:b w:val="0"/>
          <w:bCs w:val="0"/>
          <w:sz w:val="24"/>
          <w:szCs w:val="24"/>
        </w:rPr>
      </w:pPr>
      <w:r>
        <w:rPr>
          <w:rFonts w:cs="Times New Roman"/>
          <w:b w:val="0"/>
          <w:bCs w:val="0"/>
          <w:sz w:val="24"/>
          <w:szCs w:val="24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</w:rPr>
      </w:r>
    </w:p>
    <w:p>
      <w:pPr>
        <w:pStyle w:val="915"/>
        <w:jc w:val="center"/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eastAsia="Times New Roman" w:cs="Times New Roman"/>
          <w:b/>
          <w:sz w:val="24"/>
          <w:szCs w:val="24"/>
        </w:rPr>
        <w:t xml:space="preserve">Содержание Технического задания</w:t>
      </w:r>
      <w:r>
        <w:rPr>
          <w:rFonts w:ascii="Times New Roman" w:hAnsi="Times New Roman" w:cs="Times New Roman"/>
          <w:b/>
          <w:sz w:val="24"/>
          <w:szCs w:val="24"/>
        </w:rPr>
      </w:r>
      <w:r>
        <w:rPr>
          <w:rFonts w:ascii="Times New Roman" w:hAnsi="Times New Roman" w:cs="Times New Roman"/>
          <w:b/>
          <w:sz w:val="24"/>
          <w:szCs w:val="24"/>
        </w:rPr>
      </w:r>
    </w:p>
    <w:p>
      <w:pPr>
        <w:pStyle w:val="915"/>
        <w:jc w:val="center"/>
        <w:spacing w:line="240" w:lineRule="auto"/>
        <w:rPr>
          <w:rFonts w:ascii="Times New Roman" w:hAnsi="Times New Roman" w:cs="Times New Roman"/>
          <w:b w:val="0"/>
          <w:bCs w:val="0"/>
          <w:sz w:val="24"/>
          <w:szCs w:val="24"/>
        </w:rPr>
      </w:pPr>
      <w:r>
        <w:rPr>
          <w:rFonts w:cs="Times New Roman"/>
          <w:b w:val="0"/>
          <w:bCs w:val="0"/>
          <w:sz w:val="24"/>
          <w:szCs w:val="24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</w:rPr>
      </w:r>
    </w:p>
    <w:p>
      <w:pPr>
        <w:pStyle w:val="916"/>
        <w:ind w:left="0" w:firstLine="0"/>
        <w:jc w:val="center"/>
        <w:spacing w:before="0" w:after="0" w:line="240" w:lineRule="auto"/>
        <w:rPr>
          <w:rFonts w:ascii="Times New Roman" w:hAnsi="Times New Roman" w:cs="Times New Roman"/>
          <w:b w:val="0"/>
          <w:bCs w:val="0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lang w:val="en-US"/>
        </w:rPr>
        <w:t xml:space="preserve">I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. Основание для разработки инвестиционной программы</w:t>
      </w:r>
      <w:r>
        <w:rPr>
          <w:rFonts w:ascii="Times New Roman" w:hAnsi="Times New Roman" w:cs="Times New Roman"/>
          <w:b w:val="0"/>
          <w:bCs w:val="0"/>
          <w:sz w:val="24"/>
          <w:szCs w:val="24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</w:rPr>
      </w:r>
    </w:p>
    <w:p>
      <w:pPr>
        <w:ind w:left="0" w:firstLine="720"/>
        <w:jc w:val="both"/>
        <w:spacing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lang w:val="ru-RU"/>
        </w:rPr>
        <w:t xml:space="preserve">1.1. Федеральный закон от 07 декабря 2011 года №416-ФЗ «О водоснабжении и водоотведении»;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ind w:left="0" w:firstLine="720"/>
        <w:jc w:val="both"/>
        <w:spacing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lang w:val="ru-RU"/>
        </w:rPr>
        <w:t xml:space="preserve">1.2. Постановление Правительства Российской Федерации от 13 мая 2013 года №406 «О государственном регулировании тарифов в сфере водоснабжения и водоотведения»;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ind w:left="0" w:firstLine="720"/>
        <w:jc w:val="both"/>
        <w:spacing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lang w:val="ru-RU"/>
        </w:rPr>
        <w:t xml:space="preserve">1.3. Постановление Правительства Российской Федерации от 29 июля 2013 года №641 «Об инвестиционных и производственных программах организаций, осуществляющих деятельность в сфере водоснабжения и водоотведения»;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ind w:left="0" w:firstLine="720"/>
        <w:jc w:val="both"/>
        <w:spacing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lang w:val="ru-RU"/>
        </w:rPr>
        <w:t xml:space="preserve">1.4. Постановление Правительства Российской Федерации от 05 сентября 2013 года №782 «О схемах водоснабжения и водоотведения»;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ind w:left="0" w:firstLine="720"/>
        <w:jc w:val="both"/>
        <w:spacing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lang w:val="ru-RU"/>
        </w:rPr>
        <w:t xml:space="preserve">1.5. Приказ Министерства Регионального развития Российской Федерации от 10 октября 2007 года №99 «Об утверждении методических рекомендаций по подготовке технических заданий по разработке инвестиционных программ организаций коммунального комплекса»;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ind w:left="0" w:firstLine="720"/>
        <w:jc w:val="both"/>
        <w:spacing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lang w:val="ru-RU"/>
        </w:rPr>
        <w:t xml:space="preserve">1.6. Приказ Министерства регионального развития Российской Федерации от 10 октября 2007 года №100 «Об утверждении методических рекомендаций по разработке инвестиционных программ организаций коммунального комплекса»; 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ind w:left="0" w:firstLine="720"/>
        <w:jc w:val="both"/>
        <w:spacing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lang w:val="ru-RU"/>
        </w:rPr>
        <w:t xml:space="preserve">1.7. Постановление Правительства Российской Федерации от 29 июля 2013 года №644 «Об утверждении правил холодного водоснабжения и водоотведения и о внесении изменений в некоторые акты Правительства Российской Федерации»;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ind w:left="0" w:firstLine="720"/>
        <w:jc w:val="both"/>
        <w:spacing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lang w:val="ru-RU"/>
        </w:rPr>
        <w:t xml:space="preserve">1.8. Градостроительный кодекс Российской Федерации от 29 декабря 2004 года №190-ФЗ;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986"/>
        <w:ind w:left="0" w:firstLine="720"/>
        <w:jc w:val="both"/>
        <w:spacing w:line="240" w:lineRule="auto"/>
        <w:rPr>
          <w:rFonts w:ascii="Times New Roman" w:hAnsi="Times New Roman" w:eastAsia="Times New Roman" w:cs="Times New Roman"/>
          <w:sz w:val="24"/>
          <w:szCs w:val="24"/>
          <w:highlight w:val="none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lang w:val="ru-RU"/>
        </w:rPr>
      </w:r>
      <w:r>
        <w:rPr>
          <w:rFonts w:ascii="Times New Roman" w:hAnsi="Times New Roman" w:eastAsia="Times New Roman" w:cs="Times New Roman"/>
          <w:sz w:val="24"/>
          <w:szCs w:val="24"/>
          <w:lang w:val="ru-RU"/>
        </w:rPr>
        <w:t xml:space="preserve">1.9. Схема водоснабжения и водоотведения Тайшетского муниципального образования «Тайшетское городское поселение» на период с 2023 по 2041 годы утвержденная постановлением администрации Тайшетского городского поселения от 27 июня 2023 года № 559.</w:t>
      </w:r>
      <w:r>
        <w:rPr>
          <w:rFonts w:ascii="Times New Roman" w:hAnsi="Times New Roman" w:eastAsia="Times New Roman" w:cs="Times New Roman"/>
          <w:sz w:val="24"/>
          <w:szCs w:val="24"/>
          <w:highlight w:val="none"/>
          <w:lang w:val="ru-RU"/>
        </w:rPr>
      </w:r>
      <w:r>
        <w:rPr>
          <w:rFonts w:ascii="Times New Roman" w:hAnsi="Times New Roman" w:eastAsia="Times New Roman" w:cs="Times New Roman"/>
          <w:sz w:val="24"/>
          <w:szCs w:val="24"/>
          <w:highlight w:val="none"/>
        </w:rPr>
      </w:r>
    </w:p>
    <w:p>
      <w:pPr>
        <w:pStyle w:val="986"/>
        <w:ind w:left="0" w:firstLine="0"/>
        <w:jc w:val="center"/>
        <w:spacing w:line="240" w:lineRule="auto"/>
        <w:rPr>
          <w:rFonts w:ascii="Times New Roman" w:hAnsi="Times New Roman" w:cs="Times New Roman"/>
          <w:b w:val="0"/>
          <w:bCs w:val="0"/>
          <w:sz w:val="24"/>
          <w:szCs w:val="24"/>
        </w:rPr>
        <w:suppressLineNumbers w:val="0"/>
      </w:pPr>
      <w:r>
        <w:rPr>
          <w:rFonts w:ascii="Times New Roman" w:hAnsi="Times New Roman" w:cs="Times New Roman"/>
          <w:b w:val="0"/>
          <w:bCs w:val="0"/>
          <w:sz w:val="24"/>
          <w:szCs w:val="24"/>
          <w:lang w:val="ru-RU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  <w:lang w:val="ru-RU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</w:rPr>
      </w:r>
    </w:p>
    <w:p>
      <w:pPr>
        <w:pStyle w:val="915"/>
        <w:ind w:left="0" w:firstLine="0"/>
        <w:jc w:val="center"/>
        <w:spacing w:line="240" w:lineRule="auto"/>
        <w:rPr>
          <w:rFonts w:ascii="Times New Roman" w:hAnsi="Times New Roman" w:cs="Times New Roman"/>
          <w:b w:val="0"/>
          <w:bCs w:val="0"/>
          <w:sz w:val="24"/>
          <w:szCs w:val="24"/>
        </w:rPr>
        <w:suppressLineNumbers w:val="0"/>
      </w:pPr>
      <w:r>
        <w:rPr>
          <w:rFonts w:eastAsia="Times New Roman" w:cs="Times New Roman"/>
          <w:b w:val="0"/>
          <w:bCs w:val="0"/>
          <w:sz w:val="24"/>
          <w:szCs w:val="24"/>
          <w:lang w:val="en-US"/>
        </w:rPr>
        <w:t xml:space="preserve">II</w:t>
      </w:r>
      <w:r>
        <w:rPr>
          <w:rFonts w:eastAsia="Times New Roman" w:cs="Times New Roman"/>
          <w:b w:val="0"/>
          <w:bCs w:val="0"/>
          <w:sz w:val="24"/>
          <w:szCs w:val="24"/>
        </w:rPr>
        <w:t xml:space="preserve">. Цели и задачи разработки и реализации</w:t>
      </w:r>
      <w:r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</w:t>
      </w:r>
      <w:r>
        <w:rPr>
          <w:rFonts w:ascii="Times New Roman" w:hAnsi="Times New Roman" w:cs="Times New Roman"/>
          <w:b w:val="0"/>
          <w:bCs w:val="0"/>
          <w:sz w:val="24"/>
          <w:szCs w:val="24"/>
        </w:rPr>
      </w:r>
      <w:r>
        <w:rPr>
          <w:rFonts w:eastAsia="Times New Roman" w:cs="Times New Roman"/>
          <w:b w:val="0"/>
          <w:bCs w:val="0"/>
          <w:sz w:val="24"/>
          <w:szCs w:val="24"/>
        </w:rPr>
        <w:t xml:space="preserve">инвестиционной программы</w:t>
      </w:r>
      <w:r>
        <w:rPr>
          <w:rFonts w:ascii="Times New Roman" w:hAnsi="Times New Roman" w:cs="Times New Roman"/>
          <w:b w:val="0"/>
          <w:bCs w:val="0"/>
          <w:sz w:val="24"/>
          <w:szCs w:val="24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</w:rPr>
      </w:r>
    </w:p>
    <w:p>
      <w:pPr>
        <w:pStyle w:val="915"/>
        <w:ind w:firstLine="0"/>
        <w:jc w:val="center"/>
        <w:spacing w:line="240" w:lineRule="auto"/>
        <w:rPr>
          <w:rFonts w:ascii="Times New Roman" w:hAnsi="Times New Roman" w:cs="Times New Roman"/>
          <w:b w:val="0"/>
          <w:bCs w:val="0"/>
          <w:sz w:val="24"/>
          <w:szCs w:val="24"/>
        </w:rPr>
        <w:suppressLineNumbers w:val="0"/>
      </w:pPr>
      <w:r>
        <w:rPr>
          <w:rFonts w:cs="Times New Roman"/>
          <w:b w:val="0"/>
          <w:bCs w:val="0"/>
          <w:sz w:val="24"/>
          <w:szCs w:val="24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</w:rPr>
      </w:r>
    </w:p>
    <w:p>
      <w:pPr>
        <w:pStyle w:val="915"/>
        <w:ind w:firstLine="720"/>
        <w:jc w:val="both"/>
        <w:spacing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eastAsia="Times New Roman" w:cs="Times New Roman"/>
          <w:sz w:val="24"/>
          <w:szCs w:val="24"/>
        </w:rPr>
        <w:t xml:space="preserve">2.1.</w:t>
      </w:r>
      <w:r>
        <w:rPr>
          <w:rFonts w:eastAsia="Times New Roman" w:cs="Times New Roman"/>
          <w:b w:val="0"/>
          <w:bCs w:val="0"/>
          <w:sz w:val="24"/>
          <w:szCs w:val="24"/>
        </w:rPr>
        <w:t xml:space="preserve"> Основные цели</w:t>
      </w:r>
      <w:r>
        <w:rPr>
          <w:rFonts w:eastAsia="Times New Roman" w:cs="Times New Roman"/>
          <w:sz w:val="24"/>
          <w:szCs w:val="24"/>
        </w:rPr>
        <w:t xml:space="preserve"> разработки инвестиционной программы «</w:t>
      </w:r>
      <w:r>
        <w:rPr>
          <w:b w:val="0"/>
          <w:bCs w:val="0"/>
          <w:sz w:val="24"/>
          <w:szCs w:val="24"/>
        </w:rPr>
        <w:t xml:space="preserve">Строительство, реконструкция и модернизация </w:t>
      </w:r>
      <w:r>
        <w:rPr>
          <w:b w:val="0"/>
          <w:bCs w:val="0"/>
          <w:sz w:val="24"/>
          <w:szCs w:val="24"/>
        </w:rPr>
        <w:t xml:space="preserve"> объектов централизованной системы водоотведения</w:t>
      </w:r>
      <w:r>
        <w:rPr>
          <w:b w:val="0"/>
          <w:bCs w:val="0"/>
          <w:sz w:val="24"/>
          <w:szCs w:val="24"/>
        </w:rPr>
        <w:t xml:space="preserve"> на территории Тайшетского городского поселения</w:t>
      </w:r>
      <w:r>
        <w:rPr>
          <w:b w:val="0"/>
          <w:bCs w:val="0"/>
          <w:sz w:val="24"/>
          <w:szCs w:val="24"/>
          <w:highlight w:val="white"/>
        </w:rPr>
        <w:t xml:space="preserve"> </w:t>
      </w:r>
      <w:r>
        <w:rPr>
          <w:b w:val="0"/>
          <w:bCs w:val="0"/>
          <w:sz w:val="24"/>
          <w:szCs w:val="24"/>
          <w:highlight w:val="white"/>
        </w:rPr>
        <w:t xml:space="preserve">на </w:t>
      </w:r>
      <w:r>
        <w:rPr>
          <w:b w:val="0"/>
          <w:bCs w:val="0"/>
          <w:sz w:val="24"/>
          <w:szCs w:val="24"/>
          <w:highlight w:val="white"/>
        </w:rPr>
        <w:t xml:space="preserve">2025-2028 годы»</w:t>
      </w:r>
      <w:r>
        <w:rPr>
          <w:rFonts w:eastAsia="Times New Roman" w:cs="Times New Roman"/>
          <w:b w:val="0"/>
          <w:bCs w:val="0"/>
          <w:sz w:val="24"/>
          <w:szCs w:val="24"/>
        </w:rPr>
        <w:t xml:space="preserve">,</w:t>
      </w:r>
      <w:r>
        <w:rPr>
          <w:rFonts w:eastAsia="Times New Roman" w:cs="Times New Roman"/>
          <w:sz w:val="24"/>
          <w:szCs w:val="24"/>
        </w:rPr>
        <w:t xml:space="preserve"> (далее – инвестиционная программа):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915"/>
        <w:ind w:firstLine="720"/>
        <w:jc w:val="both"/>
        <w:spacing w:line="240" w:lineRule="auto"/>
        <w:rPr>
          <w:rFonts w:ascii="Times New Roman" w:hAnsi="Times New Roman" w:cs="Times New Roman"/>
          <w:sz w:val="24"/>
          <w:szCs w:val="24"/>
          <w:highlight w:val="none"/>
        </w:rPr>
        <w:suppressLineNumbers w:val="0"/>
      </w:pPr>
      <w:r>
        <w:rPr>
          <w:rFonts w:eastAsia="Times New Roman" w:cs="Times New Roman"/>
          <w:sz w:val="24"/>
          <w:szCs w:val="24"/>
        </w:rPr>
        <w:t xml:space="preserve">2.1.1. Развитие системы централизованного водоотведения Тайшетском городском поселении.</w:t>
      </w:r>
      <w:r>
        <w:rPr>
          <w:rFonts w:ascii="Times New Roman" w:hAnsi="Times New Roman" w:cs="Times New Roman"/>
          <w:sz w:val="24"/>
          <w:szCs w:val="24"/>
          <w:highlight w:val="none"/>
        </w:rPr>
      </w:r>
      <w:r>
        <w:rPr>
          <w:rFonts w:ascii="Times New Roman" w:hAnsi="Times New Roman" w:cs="Times New Roman"/>
          <w:sz w:val="24"/>
          <w:szCs w:val="24"/>
          <w:highlight w:val="none"/>
        </w:rPr>
      </w:r>
    </w:p>
    <w:p>
      <w:pPr>
        <w:pStyle w:val="915"/>
        <w:ind w:firstLine="720"/>
        <w:jc w:val="both"/>
        <w:spacing w:line="240" w:lineRule="auto"/>
        <w:rPr>
          <w:rFonts w:ascii="Times New Roman" w:hAnsi="Times New Roman" w:cs="Times New Roman"/>
          <w:sz w:val="24"/>
          <w:szCs w:val="24"/>
          <w:highlight w:val="yellow"/>
        </w:rPr>
        <w:suppressLineNumbers w:val="0"/>
      </w:pPr>
      <w:r>
        <w:rPr>
          <w:rFonts w:eastAsia="Times New Roman" w:cs="Times New Roman"/>
          <w:sz w:val="24"/>
          <w:szCs w:val="24"/>
        </w:rPr>
        <w:t xml:space="preserve">2.</w:t>
      </w:r>
      <w:r>
        <w:rPr>
          <w:rFonts w:eastAsia="Times New Roman" w:cs="Times New Roman"/>
          <w:sz w:val="24"/>
          <w:szCs w:val="24"/>
          <w:highlight w:val="white"/>
        </w:rPr>
        <w:t xml:space="preserve">1.2. </w:t>
      </w:r>
      <w:r>
        <w:rPr>
          <w:rFonts w:eastAsia="Times New Roman" w:cs="Times New Roman"/>
          <w:sz w:val="24"/>
          <w:szCs w:val="24"/>
          <w:highlight w:val="white"/>
          <w:lang w:val="ru-RU"/>
        </w:rPr>
        <w:t xml:space="preserve">Обеспечение надежности и бесперебойности</w:t>
      </w:r>
      <w:r>
        <w:rPr>
          <w:rFonts w:ascii="Times New Roman" w:hAnsi="Times New Roman" w:cs="Times New Roman"/>
          <w:sz w:val="24"/>
          <w:szCs w:val="24"/>
          <w:highlight w:val="white"/>
        </w:rPr>
        <w:t xml:space="preserve"> сет</w:t>
      </w:r>
      <w:r>
        <w:rPr>
          <w:rFonts w:ascii="Times New Roman" w:hAnsi="Times New Roman" w:cs="Times New Roman"/>
          <w:sz w:val="24"/>
          <w:szCs w:val="24"/>
          <w:highlight w:val="none"/>
        </w:rPr>
        <w:t xml:space="preserve">ей водоотведения.</w:t>
      </w:r>
      <w:r>
        <w:rPr>
          <w:rFonts w:ascii="Times New Roman" w:hAnsi="Times New Roman" w:cs="Times New Roman"/>
          <w:sz w:val="24"/>
          <w:szCs w:val="24"/>
          <w:highlight w:val="yellow"/>
        </w:rPr>
      </w:r>
      <w:r>
        <w:rPr>
          <w:rFonts w:ascii="Times New Roman" w:hAnsi="Times New Roman" w:cs="Times New Roman"/>
          <w:sz w:val="24"/>
          <w:szCs w:val="24"/>
          <w:highlight w:val="yellow"/>
        </w:rPr>
      </w:r>
    </w:p>
    <w:p>
      <w:pPr>
        <w:pStyle w:val="915"/>
        <w:ind w:firstLine="720"/>
        <w:jc w:val="both"/>
        <w:spacing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eastAsia="Times New Roman" w:cs="Times New Roman"/>
          <w:sz w:val="24"/>
          <w:szCs w:val="24"/>
        </w:rPr>
        <w:t xml:space="preserve">2.1.3. Улучшение работы системы водоотведения.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915"/>
        <w:ind w:firstLine="720"/>
        <w:jc w:val="both"/>
        <w:spacing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eastAsia="Times New Roman" w:cs="Times New Roman"/>
          <w:sz w:val="24"/>
          <w:szCs w:val="24"/>
        </w:rPr>
        <w:t xml:space="preserve">2</w:t>
      </w:r>
      <w:r>
        <w:rPr>
          <w:rFonts w:eastAsia="Times New Roman" w:cs="Times New Roman"/>
          <w:sz w:val="24"/>
          <w:szCs w:val="24"/>
          <w:highlight w:val="white"/>
        </w:rPr>
        <w:t xml:space="preserve">.1.4. Повышение качества </w:t>
      </w:r>
      <w:r>
        <w:rPr>
          <w:rFonts w:eastAsia="Times New Roman" w:cs="Times New Roman"/>
          <w:sz w:val="24"/>
          <w:szCs w:val="24"/>
          <w:highlight w:val="white"/>
        </w:rPr>
        <w:t xml:space="preserve">очистки сточных во</w:t>
      </w:r>
      <w:r>
        <w:rPr>
          <w:rFonts w:eastAsia="Times New Roman" w:cs="Times New Roman"/>
          <w:sz w:val="24"/>
          <w:szCs w:val="24"/>
          <w:highlight w:val="none"/>
        </w:rPr>
        <w:t xml:space="preserve">д.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986"/>
        <w:ind w:left="0" w:firstLine="720"/>
        <w:jc w:val="both"/>
        <w:spacing w:line="240" w:lineRule="auto"/>
        <w:rPr>
          <w:rFonts w:ascii="Times New Roman" w:hAnsi="Times New Roman" w:cs="Times New Roman"/>
          <w:sz w:val="24"/>
          <w:szCs w:val="24"/>
          <w:highlight w:val="none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2.1.5.</w:t>
      </w:r>
      <w:r>
        <w:rPr>
          <w:rFonts w:ascii="Times New Roman" w:hAnsi="Times New Roman" w:eastAsia="Times New Roman" w:cs="Times New Roman"/>
          <w:sz w:val="24"/>
          <w:szCs w:val="24"/>
          <w:highlight w:val="none"/>
          <w:lang w:val="ru-RU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lang w:val="ru-RU"/>
        </w:rPr>
        <w:t xml:space="preserve">Обеспечение подключения вновь строящихся (реконструируемых) объектов капитального строительства к системам водоотведения с гарантированным объемом заявленных мощностей.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highlight w:val="none"/>
        </w:rPr>
      </w:r>
      <w:r>
        <w:rPr>
          <w:rFonts w:ascii="Times New Roman" w:hAnsi="Times New Roman" w:cs="Times New Roman"/>
          <w:sz w:val="24"/>
          <w:szCs w:val="24"/>
          <w:highlight w:val="none"/>
        </w:rPr>
      </w:r>
    </w:p>
    <w:p>
      <w:pPr>
        <w:pStyle w:val="986"/>
        <w:ind w:left="0" w:firstLine="720"/>
        <w:jc w:val="both"/>
        <w:spacing w:line="240" w:lineRule="auto"/>
        <w:widowControl w:val="off"/>
        <w:rPr>
          <w:rFonts w:ascii="Times New Roman" w:hAnsi="Times New Roman" w:cs="Times New Roman"/>
          <w:sz w:val="24"/>
          <w:szCs w:val="24"/>
          <w:highlight w:val="white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2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</w:rPr>
        <w:t xml:space="preserve">.1.6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lang w:val="ru-RU"/>
        </w:rPr>
        <w:t xml:space="preserve">.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lang w:val="ru-RU"/>
        </w:rPr>
        <w:t xml:space="preserve">Обеспечение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lang w:val="ru-RU"/>
        </w:rPr>
        <w:t xml:space="preserve">рационального использования энергоресурсов,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lang w:val="ru-RU"/>
        </w:rPr>
        <w:t xml:space="preserve">в технологическом процессе очистке сточных вод и водоотведения</w:t>
      </w:r>
      <w:r>
        <w:rPr>
          <w:rFonts w:ascii="Times New Roman" w:hAnsi="Times New Roman" w:cs="Times New Roman"/>
          <w:sz w:val="24"/>
          <w:szCs w:val="24"/>
          <w:highlight w:val="none"/>
        </w:rPr>
        <w:t xml:space="preserve">.</w:t>
      </w:r>
      <w:r>
        <w:rPr>
          <w:rFonts w:ascii="Times New Roman" w:hAnsi="Times New Roman" w:cs="Times New Roman"/>
          <w:sz w:val="24"/>
          <w:szCs w:val="24"/>
          <w:highlight w:val="white"/>
        </w:rPr>
      </w:r>
      <w:r>
        <w:rPr>
          <w:rFonts w:ascii="Times New Roman" w:hAnsi="Times New Roman" w:cs="Times New Roman"/>
          <w:sz w:val="24"/>
          <w:szCs w:val="24"/>
          <w:highlight w:val="white"/>
        </w:rPr>
      </w:r>
    </w:p>
    <w:p>
      <w:pPr>
        <w:pStyle w:val="986"/>
        <w:ind w:left="0" w:firstLine="720"/>
        <w:jc w:val="both"/>
        <w:spacing w:line="240" w:lineRule="auto"/>
        <w:rPr>
          <w:rFonts w:ascii="Times New Roman" w:hAnsi="Times New Roman" w:cs="Times New Roman"/>
          <w:sz w:val="24"/>
          <w:szCs w:val="24"/>
          <w:highlight w:val="white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highlight w:val="white"/>
        </w:rPr>
        <w:t xml:space="preserve">2.1.7. Обеспечение экологической безопасности природных ресурсов.</w:t>
      </w:r>
      <w:r>
        <w:rPr>
          <w:rFonts w:ascii="Times New Roman" w:hAnsi="Times New Roman" w:cs="Times New Roman"/>
          <w:sz w:val="24"/>
          <w:szCs w:val="24"/>
          <w:highlight w:val="white"/>
        </w:rPr>
      </w:r>
      <w:r>
        <w:rPr>
          <w:rFonts w:ascii="Times New Roman" w:hAnsi="Times New Roman" w:cs="Times New Roman"/>
          <w:sz w:val="24"/>
          <w:szCs w:val="24"/>
          <w:highlight w:val="white"/>
        </w:rPr>
      </w:r>
    </w:p>
    <w:p>
      <w:pPr>
        <w:pStyle w:val="958"/>
        <w:ind w:left="0" w:firstLine="720"/>
        <w:jc w:val="both"/>
        <w:spacing w:line="240" w:lineRule="auto"/>
        <w:rPr>
          <w:rFonts w:ascii="Times New Roman" w:hAnsi="Times New Roman" w:cs="Times New Roman"/>
          <w:sz w:val="24"/>
          <w:szCs w:val="24"/>
          <w:highlight w:val="white"/>
        </w:rPr>
        <w:suppressLineNumbers w:val="0"/>
      </w:pPr>
      <w:r>
        <w:rPr>
          <w:rFonts w:ascii="Times New Roman" w:hAnsi="Times New Roman" w:eastAsia="Times New Roman" w:cs="Times New Roman"/>
          <w:color w:val="000000"/>
          <w:sz w:val="24"/>
          <w:szCs w:val="24"/>
          <w:highlight w:val="white"/>
        </w:rPr>
        <w:t xml:space="preserve">Реализация</w:t>
      </w:r>
      <w:r>
        <w:rPr>
          <w:rFonts w:ascii="Times New Roman" w:hAnsi="Times New Roman" w:eastAsia="Times New Roman" w:cs="Times New Roman"/>
          <w:color w:val="000000"/>
          <w:sz w:val="24"/>
          <w:szCs w:val="24"/>
          <w:highlight w:val="white"/>
        </w:rPr>
        <w:t xml:space="preserve"> мероприятий инвестиционной программы положительно скажется на эксплуатационных показателях системы водоотведения, в результате чего ожидается улучшение целевых показателей:</w:t>
      </w:r>
      <w:r>
        <w:rPr>
          <w:rFonts w:ascii="Times New Roman" w:hAnsi="Times New Roman" w:eastAsia="Times New Roman" w:cs="Times New Roman"/>
          <w:color w:val="000000"/>
          <w:sz w:val="24"/>
          <w:szCs w:val="24"/>
          <w:highlight w:val="white"/>
        </w:rPr>
        <w:t xml:space="preserve"> </w:t>
      </w:r>
      <w:r>
        <w:rPr>
          <w:rFonts w:ascii="Times New Roman" w:hAnsi="Times New Roman" w:cs="Times New Roman"/>
          <w:sz w:val="24"/>
          <w:szCs w:val="24"/>
          <w:highlight w:val="white"/>
        </w:rPr>
      </w:r>
      <w:r>
        <w:rPr>
          <w:rFonts w:ascii="Times New Roman" w:hAnsi="Times New Roman" w:cs="Times New Roman"/>
          <w:sz w:val="24"/>
          <w:szCs w:val="24"/>
          <w:highlight w:val="white"/>
        </w:rPr>
      </w:r>
    </w:p>
    <w:p>
      <w:pPr>
        <w:pStyle w:val="958"/>
        <w:ind w:left="0" w:right="0" w:firstLine="720"/>
        <w:jc w:val="both"/>
        <w:spacing w:before="0" w:after="0" w:line="240" w:lineRule="auto"/>
        <w:rPr>
          <w:rFonts w:ascii="Times New Roman" w:hAnsi="Times New Roman"/>
          <w:color w:val="000000"/>
          <w:sz w:val="24"/>
        </w:rPr>
        <w:suppressLineNumbers w:val="0"/>
      </w:pPr>
      <w:r>
        <w:rPr>
          <w:rFonts w:ascii="Times New Roman" w:hAnsi="Times New Roman"/>
          <w:color w:val="000000"/>
          <w:sz w:val="24"/>
        </w:rPr>
        <w:t xml:space="preserve">повышение качества услуг водоотведения;</w:t>
      </w:r>
      <w:r>
        <w:rPr>
          <w:rFonts w:ascii="Times New Roman" w:hAnsi="Times New Roman"/>
          <w:color w:val="000000"/>
          <w:sz w:val="24"/>
        </w:rPr>
      </w:r>
      <w:r>
        <w:rPr>
          <w:rFonts w:ascii="Times New Roman" w:hAnsi="Times New Roman"/>
          <w:color w:val="000000"/>
          <w:sz w:val="24"/>
        </w:rPr>
      </w:r>
    </w:p>
    <w:p>
      <w:pPr>
        <w:pStyle w:val="958"/>
        <w:ind w:left="0" w:right="0" w:firstLine="720"/>
        <w:jc w:val="both"/>
        <w:spacing w:before="0" w:after="0" w:line="240" w:lineRule="auto"/>
        <w:rPr>
          <w:rFonts w:ascii="Times New Roman" w:hAnsi="Times New Roman"/>
          <w:color w:val="000000"/>
          <w:sz w:val="24"/>
          <w:highlight w:val="yellow"/>
        </w:rPr>
        <w:suppressLineNumbers w:val="0"/>
      </w:pPr>
      <w:r>
        <w:rPr>
          <w:rFonts w:ascii="Times New Roman" w:hAnsi="Times New Roman"/>
          <w:color w:val="000000"/>
          <w:sz w:val="24"/>
          <w:highlight w:val="white"/>
        </w:rPr>
      </w:r>
      <w:r>
        <w:rPr>
          <w:rFonts w:ascii="Times New Roman" w:hAnsi="Times New Roman"/>
          <w:color w:val="000000"/>
          <w:sz w:val="24"/>
          <w:highlight w:val="white"/>
        </w:rPr>
        <w:t xml:space="preserve">д</w:t>
      </w:r>
      <w:r>
        <w:rPr>
          <w:rFonts w:ascii="Times New Roman" w:hAnsi="Times New Roman"/>
          <w:color w:val="000000"/>
          <w:sz w:val="24"/>
          <w:highlight w:val="white"/>
        </w:rPr>
        <w:t xml:space="preserve">оведение качества сточных вод  соответствующих установленным нормативам допустимых сбросов;</w:t>
      </w:r>
      <w:r>
        <w:rPr>
          <w:rFonts w:ascii="Times New Roman" w:hAnsi="Times New Roman"/>
          <w:color w:val="000000"/>
          <w:sz w:val="24"/>
          <w:highlight w:val="yellow"/>
        </w:rPr>
      </w:r>
      <w:r>
        <w:rPr>
          <w:rFonts w:ascii="Times New Roman" w:hAnsi="Times New Roman"/>
          <w:color w:val="000000"/>
          <w:sz w:val="24"/>
          <w:highlight w:val="yellow"/>
        </w:rPr>
      </w:r>
    </w:p>
    <w:p>
      <w:pPr>
        <w:pStyle w:val="958"/>
        <w:ind w:left="0" w:right="0" w:firstLine="720"/>
        <w:jc w:val="both"/>
        <w:spacing w:before="0" w:after="0" w:line="240" w:lineRule="auto"/>
        <w:rPr>
          <w:rFonts w:ascii="Times New Roman" w:hAnsi="Times New Roman" w:cs="Times New Roman"/>
          <w:sz w:val="24"/>
          <w:szCs w:val="24"/>
          <w:highlight w:val="none"/>
        </w:rPr>
        <w:suppressLineNumbers w:val="0"/>
      </w:pPr>
      <w:r>
        <w:rPr>
          <w:rFonts w:ascii="Times New Roman" w:hAnsi="Times New Roman"/>
          <w:color w:val="000000"/>
          <w:sz w:val="24"/>
        </w:rPr>
        <w:t xml:space="preserve">Плановые показатели развития системы централизованного водоотведения по показателям радиационной безопасности представлены в таблице 1.</w:t>
      </w:r>
      <w:r>
        <w:rPr>
          <w:rFonts w:ascii="Times New Roman" w:hAnsi="Times New Roman" w:cs="Times New Roman"/>
          <w:sz w:val="24"/>
          <w:szCs w:val="24"/>
          <w:highlight w:val="none"/>
        </w:rPr>
      </w:r>
      <w:r>
        <w:rPr>
          <w:rFonts w:ascii="Times New Roman" w:hAnsi="Times New Roman" w:cs="Times New Roman"/>
          <w:sz w:val="24"/>
          <w:szCs w:val="24"/>
          <w:highlight w:val="none"/>
        </w:rPr>
      </w:r>
    </w:p>
    <w:p>
      <w:pPr>
        <w:contextualSpacing/>
        <w:jc w:val="right"/>
        <w:spacing w:line="240" w:lineRule="auto"/>
        <w:rPr>
          <w:rFonts w:ascii="Times New Roman" w:hAnsi="Times New Roman" w:cs="Times New Roman"/>
          <w:sz w:val="24"/>
          <w:szCs w:val="24"/>
          <w:highlight w:val="none"/>
        </w:rPr>
      </w:pPr>
      <w:r>
        <w:rPr>
          <w:rFonts w:ascii="Times New Roman" w:hAnsi="Times New Roman" w:cs="Times New Roman"/>
          <w:bCs/>
          <w:sz w:val="24"/>
          <w:szCs w:val="24"/>
          <w:highlight w:val="none"/>
        </w:rPr>
        <w:t xml:space="preserve">Таблица 1</w:t>
      </w:r>
      <w:r>
        <w:rPr>
          <w:rFonts w:ascii="Times New Roman" w:hAnsi="Times New Roman" w:cs="Times New Roman"/>
          <w:sz w:val="24"/>
          <w:szCs w:val="24"/>
          <w:highlight w:val="none"/>
        </w:rPr>
      </w:r>
      <w:r>
        <w:rPr>
          <w:rFonts w:ascii="Times New Roman" w:hAnsi="Times New Roman" w:cs="Times New Roman"/>
          <w:sz w:val="24"/>
          <w:szCs w:val="24"/>
          <w:highlight w:val="none"/>
        </w:rPr>
      </w:r>
    </w:p>
    <w:p>
      <w:pPr>
        <w:contextualSpacing/>
        <w:jc w:val="center"/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  <w:highlight w:val="none"/>
        </w:rPr>
      </w:r>
      <w:r>
        <w:rPr>
          <w:rFonts w:ascii="Times New Roman" w:hAnsi="Times New Roman" w:eastAsia="Times New Roman" w:cs="Times New Roman"/>
          <w:bCs/>
          <w:sz w:val="24"/>
          <w:szCs w:val="24"/>
        </w:rPr>
        <w:t xml:space="preserve">Плановые показатели развития системы централизованного водоотведения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tbl>
      <w:tblPr>
        <w:tblStyle w:val="789"/>
        <w:tblW w:w="0" w:type="auto"/>
        <w:tblInd w:w="-34" w:type="dxa"/>
        <w:tblLayout w:type="fixed"/>
        <w:tblLook w:val="04A0" w:firstRow="1" w:lastRow="0" w:firstColumn="1" w:lastColumn="0" w:noHBand="0" w:noVBand="1"/>
      </w:tblPr>
      <w:tblGrid>
        <w:gridCol w:w="567"/>
        <w:gridCol w:w="5386"/>
        <w:gridCol w:w="709"/>
        <w:gridCol w:w="709"/>
        <w:gridCol w:w="709"/>
        <w:gridCol w:w="709"/>
        <w:gridCol w:w="708"/>
      </w:tblGrid>
      <w:tr>
        <w:tblPrEx/>
        <w:trPr/>
        <w:tc>
          <w:tcPr>
            <w:tcW w:w="567" w:type="dxa"/>
            <w:textDirection w:val="lrTb"/>
            <w:noWrap w:val="false"/>
          </w:tcPr>
          <w:p>
            <w:pPr>
              <w:jc w:val="center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</w:rPr>
              <w:t xml:space="preserve">№ п/п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5386" w:type="dxa"/>
            <w:textDirection w:val="lrTb"/>
            <w:noWrap w:val="false"/>
          </w:tcPr>
          <w:p>
            <w:pPr>
              <w:pStyle w:val="915"/>
              <w:contextualSpacing/>
              <w:jc w:val="center"/>
              <w:spacing w:line="240" w:lineRule="auto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</w:rPr>
              <w:t xml:space="preserve">Наименование показателя</w:t>
            </w: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</w:rPr>
              <w:t xml:space="preserve">Ед. изм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spacing w:line="240" w:lineRule="auto"/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2025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  <w:p>
            <w:pPr>
              <w:ind w:left="-57" w:right="-57"/>
              <w:jc w:val="center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год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spacing w:line="240" w:lineRule="auto"/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2026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  <w:p>
            <w:pPr>
              <w:ind w:left="-57" w:right="-57"/>
              <w:jc w:val="center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год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spacing w:line="240" w:lineRule="auto"/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2027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  <w:p>
            <w:pPr>
              <w:ind w:left="-57" w:right="-57"/>
              <w:jc w:val="center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год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708" w:type="dxa"/>
            <w:textDirection w:val="lrTb"/>
            <w:noWrap w:val="false"/>
          </w:tcPr>
          <w:p>
            <w:pPr>
              <w:ind w:left="-57" w:right="-57"/>
              <w:jc w:val="center"/>
              <w:spacing w:line="240" w:lineRule="auto"/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2028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  <w:p>
            <w:pPr>
              <w:ind w:left="-57" w:right="-57"/>
              <w:jc w:val="center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год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244"/>
        </w:trPr>
        <w:tc>
          <w:tcPr>
            <w:gridSpan w:val="7"/>
            <w:tcW w:w="9496" w:type="dxa"/>
            <w:textDirection w:val="lrTb"/>
            <w:noWrap w:val="false"/>
          </w:tcPr>
          <w:p>
            <w:pPr>
              <w:ind w:left="-57" w:right="-57" w:firstLine="0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1.Показатели надежности и бесперебойности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567" w:type="dxa"/>
            <w:textDirection w:val="lrTb"/>
            <w:noWrap w:val="false"/>
          </w:tcPr>
          <w:p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1.1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5386" w:type="dxa"/>
            <w:textDirection w:val="lrTb"/>
            <w:noWrap w:val="false"/>
          </w:tcPr>
          <w:p>
            <w:pPr>
              <w:pStyle w:val="915"/>
              <w:contextualSpacing/>
              <w:jc w:val="both"/>
              <w:spacing w:line="240" w:lineRule="auto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  <w:szCs w:val="24"/>
              </w:rPr>
              <w:t xml:space="preserve">Удельное количество аварий и засоров в расчете на протяженность канализационной сети в год.</w:t>
            </w: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r>
          </w:p>
        </w:tc>
        <w:tc>
          <w:tcPr>
            <w:tcW w:w="709" w:type="dxa"/>
            <w:vAlign w:val="center"/>
            <w:textDirection w:val="lrTb"/>
            <w:noWrap w:val="false"/>
          </w:tcPr>
          <w:p>
            <w:pPr>
              <w:ind w:left="-57" w:right="-57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  <w:suppressLineNumbers w:val="0"/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</w:rPr>
              <w:t xml:space="preserve">ед/км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709" w:type="dxa"/>
            <w:vAlign w:val="center"/>
            <w:textDirection w:val="lrTb"/>
            <w:noWrap w:val="false"/>
          </w:tcPr>
          <w:p>
            <w:pPr>
              <w:ind w:left="-57" w:right="-57"/>
              <w:spacing w:line="240" w:lineRule="auto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suppressLineNumbers w:val="0"/>
            </w:pP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  <w:t xml:space="preserve">16</w:t>
            </w:r>
            <w: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r>
          </w:p>
        </w:tc>
        <w:tc>
          <w:tcPr>
            <w:tcW w:w="709" w:type="dxa"/>
            <w:vAlign w:val="center"/>
            <w:textDirection w:val="lrTb"/>
            <w:noWrap w:val="false"/>
          </w:tcPr>
          <w:p>
            <w:pPr>
              <w:ind w:left="-57" w:right="-57"/>
              <w:spacing w:line="240" w:lineRule="auto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suppressLineNumbers w:val="0"/>
            </w:pP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  <w:t xml:space="preserve">16</w:t>
            </w:r>
            <w: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r>
          </w:p>
        </w:tc>
        <w:tc>
          <w:tcPr>
            <w:tcW w:w="709" w:type="dxa"/>
            <w:vAlign w:val="center"/>
            <w:textDirection w:val="lrTb"/>
            <w:noWrap w:val="false"/>
          </w:tcPr>
          <w:p>
            <w:pPr>
              <w:ind w:left="-57" w:right="-57"/>
              <w:spacing w:line="240" w:lineRule="auto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suppressLineNumbers w:val="0"/>
            </w:pP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  <w:t xml:space="preserve">16</w:t>
            </w:r>
            <w: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r>
          </w:p>
        </w:tc>
        <w:tc>
          <w:tcPr>
            <w:tcW w:w="708" w:type="dxa"/>
            <w:vAlign w:val="center"/>
            <w:textDirection w:val="lrTb"/>
            <w:noWrap w:val="false"/>
          </w:tcPr>
          <w:p>
            <w:pPr>
              <w:ind w:left="-57" w:right="-57"/>
              <w:spacing w:line="240" w:lineRule="auto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suppressLineNumbers w:val="0"/>
            </w:pP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  <w:t xml:space="preserve">16</w:t>
            </w:r>
            <w: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r>
          </w:p>
        </w:tc>
      </w:tr>
      <w:tr>
        <w:tblPrEx/>
        <w:trPr/>
        <w:tc>
          <w:tcPr>
            <w:gridSpan w:val="7"/>
            <w:tcW w:w="9496" w:type="dxa"/>
            <w:textDirection w:val="lrTb"/>
            <w:noWrap w:val="false"/>
          </w:tcPr>
          <w:p>
            <w:pPr>
              <w:ind w:left="-57" w:right="-57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2.Показатели качества очистки сточных вод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567" w:type="dxa"/>
            <w:textDirection w:val="lrTb"/>
            <w:noWrap w:val="false"/>
          </w:tcPr>
          <w:p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2.1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5386" w:type="dxa"/>
            <w:textDirection w:val="lrTb"/>
            <w:noWrap w:val="false"/>
          </w:tcPr>
          <w:p>
            <w:pPr>
              <w:jc w:val="both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Доля сточных вод, не подвергающихся очистке, в общем объеме сточных вод,сбрасываемых в централизованные общесплавные или бытовые системы водоотведения.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709" w:type="dxa"/>
            <w:vAlign w:val="center"/>
            <w:textDirection w:val="lrTb"/>
            <w:noWrap w:val="false"/>
          </w:tcPr>
          <w:p>
            <w:pPr>
              <w:ind w:left="-57" w:right="-57"/>
              <w:spacing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</w:rPr>
              <w:t xml:space="preserve">%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709" w:type="dxa"/>
            <w:vAlign w:val="center"/>
            <w:textDirection w:val="lrTb"/>
            <w:noWrap w:val="false"/>
          </w:tcPr>
          <w:p>
            <w:pPr>
              <w:ind w:left="-57" w:right="-57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  <w:suppressLineNumbers w:val="0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709" w:type="dxa"/>
            <w:vAlign w:val="center"/>
            <w:textDirection w:val="lrTb"/>
            <w:noWrap w:val="false"/>
          </w:tcPr>
          <w:p>
            <w:pPr>
              <w:ind w:left="-57" w:right="-57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  <w:suppressLineNumbers w:val="0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709" w:type="dxa"/>
            <w:vAlign w:val="center"/>
            <w:textDirection w:val="lrTb"/>
            <w:noWrap w:val="false"/>
          </w:tcPr>
          <w:p>
            <w:pPr>
              <w:ind w:left="-57" w:right="-57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  <w:suppressLineNumbers w:val="0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708" w:type="dxa"/>
            <w:vAlign w:val="center"/>
            <w:textDirection w:val="lrTb"/>
            <w:noWrap w:val="false"/>
          </w:tcPr>
          <w:p>
            <w:pPr>
              <w:ind w:left="-57" w:right="-57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  <w:suppressLineNumbers w:val="0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567" w:type="dxa"/>
            <w:vMerge w:val="restart"/>
            <w:textDirection w:val="lrTb"/>
            <w:noWrap w:val="false"/>
          </w:tcPr>
          <w:p>
            <w:pPr>
              <w:spacing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2.2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5386" w:type="dxa"/>
            <w:vMerge w:val="restart"/>
            <w:textDirection w:val="lrTb"/>
            <w:noWrap w:val="false"/>
          </w:tcPr>
          <w:p>
            <w:pPr>
              <w:jc w:val="both"/>
              <w:spacing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Доля проб сточных вод, не соответствующих установленным нормативам допустимых сбросов, лимитам на сбросы.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709" w:type="dxa"/>
            <w:vAlign w:val="center"/>
            <w:vMerge w:val="restart"/>
            <w:textDirection w:val="lrTb"/>
            <w:noWrap w:val="false"/>
          </w:tcPr>
          <w:p>
            <w:pPr>
              <w:ind w:left="-57" w:right="-57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  <w:suppressLineNumbers w:val="0"/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</w:rPr>
              <w:t xml:space="preserve">%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709" w:type="dxa"/>
            <w:vAlign w:val="center"/>
            <w:vMerge w:val="restart"/>
            <w:textDirection w:val="lrTb"/>
            <w:noWrap w:val="false"/>
          </w:tcPr>
          <w:p>
            <w:pPr>
              <w:ind w:left="-57" w:right="-57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  <w:suppressLineNumbers w:val="0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709" w:type="dxa"/>
            <w:vAlign w:val="center"/>
            <w:vMerge w:val="restart"/>
            <w:textDirection w:val="lrTb"/>
            <w:noWrap w:val="false"/>
          </w:tcPr>
          <w:p>
            <w:pPr>
              <w:ind w:left="-57" w:right="-57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  <w:suppressLineNumbers w:val="0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709" w:type="dxa"/>
            <w:vAlign w:val="center"/>
            <w:vMerge w:val="restart"/>
            <w:textDirection w:val="lrTb"/>
            <w:noWrap w:val="false"/>
          </w:tcPr>
          <w:p>
            <w:pPr>
              <w:ind w:left="-57" w:right="-57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  <w:suppressLineNumbers w:val="0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708" w:type="dxa"/>
            <w:vAlign w:val="center"/>
            <w:vMerge w:val="restart"/>
            <w:textDirection w:val="lrTb"/>
            <w:noWrap w:val="false"/>
          </w:tcPr>
          <w:p>
            <w:pPr>
              <w:ind w:left="-57" w:right="-57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  <w:suppressLineNumbers w:val="0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gridSpan w:val="7"/>
            <w:tcW w:w="9496" w:type="dxa"/>
            <w:textDirection w:val="lrTb"/>
            <w:noWrap w:val="false"/>
          </w:tcPr>
          <w:p>
            <w:pPr>
              <w:ind w:left="-57" w:right="-57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3.Показатели энергетической эффективности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567" w:type="dxa"/>
            <w:vMerge w:val="restart"/>
            <w:textDirection w:val="lrTb"/>
            <w:noWrap w:val="false"/>
          </w:tcPr>
          <w:p>
            <w:pPr>
              <w:spacing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3.1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5386" w:type="dxa"/>
            <w:vMerge w:val="restart"/>
            <w:textDirection w:val="lrTb"/>
            <w:noWrap w:val="false"/>
          </w:tcPr>
          <w:p>
            <w:pPr>
              <w:pStyle w:val="915"/>
              <w:jc w:val="both"/>
              <w:spacing w:line="240" w:lineRule="auto"/>
              <w:rPr>
                <w:rFonts w:ascii="Times New Roman" w:hAnsi="Times New Roman" w:cs="Times New Roman"/>
                <w:b w:val="0"/>
                <w:bCs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  <w:szCs w:val="24"/>
              </w:rPr>
              <w:t xml:space="preserve">Удельный расход электрической энергии, п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  <w:szCs w:val="24"/>
              </w:rPr>
              <w:t xml:space="preserve">о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  <w:szCs w:val="24"/>
              </w:rPr>
              <w:t xml:space="preserve">требляемой в технологическом процессе очистки сточных вод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  <w:szCs w:val="24"/>
              </w:rPr>
              <w:t xml:space="preserve">, на единицу объема очищаемых сточных вод.</w:t>
            </w:r>
            <w:r>
              <w:rPr>
                <w:rFonts w:ascii="Times New Roman" w:hAnsi="Times New Roman" w:cs="Times New Roman"/>
                <w:b w:val="0"/>
                <w:bCs w:val="0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 w:val="0"/>
                <w:bCs w:val="0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 w:val="0"/>
                <w:bCs w:val="0"/>
                <w:color w:val="000000"/>
                <w:sz w:val="24"/>
                <w:szCs w:val="24"/>
              </w:rPr>
            </w:r>
          </w:p>
        </w:tc>
        <w:tc>
          <w:tcPr>
            <w:tcW w:w="709" w:type="dxa"/>
            <w:vAlign w:val="center"/>
            <w:vMerge w:val="restart"/>
            <w:textDirection w:val="lrTb"/>
            <w:noWrap w:val="false"/>
          </w:tcPr>
          <w:p>
            <w:pPr>
              <w:pStyle w:val="915"/>
              <w:ind w:left="-113" w:right="-57"/>
              <w:jc w:val="center"/>
              <w:spacing w:line="240" w:lineRule="auto"/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  <w:szCs w:val="24"/>
                <w:highlight w:val="non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  <w:szCs w:val="24"/>
              </w:rPr>
              <w:t xml:space="preserve">кВт*ч/куб. м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  <w:szCs w:val="24"/>
                <w:highlight w:val="none"/>
              </w:rPr>
            </w:r>
          </w:p>
        </w:tc>
        <w:tc>
          <w:tcPr>
            <w:tcW w:w="709" w:type="dxa"/>
            <w:vAlign w:val="center"/>
            <w:vMerge w:val="restart"/>
            <w:textDirection w:val="lrTb"/>
            <w:noWrap w:val="false"/>
          </w:tcPr>
          <w:p>
            <w:pPr>
              <w:ind w:left="-57" w:right="-57"/>
              <w:spacing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0,750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709" w:type="dxa"/>
            <w:vAlign w:val="center"/>
            <w:vMerge w:val="restart"/>
            <w:textDirection w:val="lrTb"/>
            <w:noWrap w:val="false"/>
          </w:tcPr>
          <w:p>
            <w:pPr>
              <w:ind w:left="-57" w:right="-57"/>
              <w:spacing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0,750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709" w:type="dxa"/>
            <w:vAlign w:val="center"/>
            <w:vMerge w:val="restart"/>
            <w:textDirection w:val="lrTb"/>
            <w:noWrap w:val="false"/>
          </w:tcPr>
          <w:p>
            <w:pPr>
              <w:ind w:left="-57" w:right="-57"/>
              <w:spacing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0,750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708" w:type="dxa"/>
            <w:vAlign w:val="center"/>
            <w:vMerge w:val="restart"/>
            <w:textDirection w:val="lrTb"/>
            <w:noWrap w:val="false"/>
          </w:tcPr>
          <w:p>
            <w:pPr>
              <w:ind w:left="-57" w:right="-57"/>
              <w:spacing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0,750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567" w:type="dxa"/>
            <w:vMerge w:val="restart"/>
            <w:textDirection w:val="lrTb"/>
            <w:noWrap w:val="false"/>
          </w:tcPr>
          <w:p>
            <w:pPr>
              <w:spacing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3.2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5386" w:type="dxa"/>
            <w:vMerge w:val="restart"/>
            <w:textDirection w:val="lrTb"/>
            <w:noWrap w:val="false"/>
          </w:tcPr>
          <w:p>
            <w:pPr>
              <w:pStyle w:val="915"/>
              <w:jc w:val="both"/>
              <w:spacing w:line="240" w:lineRule="auto"/>
              <w:rPr>
                <w:rFonts w:ascii="Times New Roman" w:hAnsi="Times New Roman" w:cs="Times New Roman"/>
                <w:b w:val="0"/>
                <w:bCs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  <w:szCs w:val="24"/>
              </w:rPr>
              <w:t xml:space="preserve">Удельный расход электрической энергии, п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  <w:szCs w:val="24"/>
              </w:rPr>
              <w:t xml:space="preserve">о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  <w:szCs w:val="24"/>
              </w:rPr>
              <w:t xml:space="preserve">требляемой в технологическом процессе водоотведения (полный цикл), на единицу объема сточных вод.</w:t>
            </w:r>
            <w:r>
              <w:rPr>
                <w:rFonts w:ascii="Times New Roman" w:hAnsi="Times New Roman" w:cs="Times New Roman"/>
                <w:b w:val="0"/>
                <w:bCs w:val="0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 w:val="0"/>
                <w:bCs w:val="0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 w:val="0"/>
                <w:bCs w:val="0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 w:val="0"/>
                <w:bCs w:val="0"/>
                <w:color w:val="000000"/>
                <w:sz w:val="24"/>
                <w:szCs w:val="24"/>
              </w:rPr>
            </w:r>
          </w:p>
        </w:tc>
        <w:tc>
          <w:tcPr>
            <w:tcW w:w="709" w:type="dxa"/>
            <w:vAlign w:val="center"/>
            <w:vMerge w:val="restart"/>
            <w:textDirection w:val="lrTb"/>
            <w:noWrap w:val="false"/>
          </w:tcPr>
          <w:p>
            <w:pPr>
              <w:pStyle w:val="915"/>
              <w:ind w:left="-57" w:right="-57"/>
              <w:jc w:val="center"/>
              <w:spacing w:line="240" w:lineRule="auto"/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  <w:szCs w:val="24"/>
                <w:highlight w:val="non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  <w:szCs w:val="24"/>
              </w:rPr>
              <w:t xml:space="preserve">кВт*ч/куб. м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  <w:szCs w:val="24"/>
                <w:highlight w:val="none"/>
              </w:rPr>
            </w:r>
          </w:p>
        </w:tc>
        <w:tc>
          <w:tcPr>
            <w:tcW w:w="709" w:type="dxa"/>
            <w:vAlign w:val="center"/>
            <w:vMerge w:val="restart"/>
            <w:textDirection w:val="lrTb"/>
            <w:noWrap w:val="false"/>
          </w:tcPr>
          <w:p>
            <w:pPr>
              <w:ind w:left="-57" w:right="-57"/>
              <w:spacing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0,961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709" w:type="dxa"/>
            <w:vAlign w:val="center"/>
            <w:vMerge w:val="restart"/>
            <w:textDirection w:val="lrTb"/>
            <w:noWrap w:val="false"/>
          </w:tcPr>
          <w:p>
            <w:pPr>
              <w:ind w:left="-57" w:right="-57"/>
              <w:spacing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0,961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709" w:type="dxa"/>
            <w:vAlign w:val="center"/>
            <w:vMerge w:val="restart"/>
            <w:textDirection w:val="lrTb"/>
            <w:noWrap w:val="false"/>
          </w:tcPr>
          <w:p>
            <w:pPr>
              <w:ind w:left="-57" w:right="-57"/>
              <w:spacing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0,961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708" w:type="dxa"/>
            <w:vAlign w:val="center"/>
            <w:vMerge w:val="restart"/>
            <w:textDirection w:val="lrTb"/>
            <w:noWrap w:val="false"/>
          </w:tcPr>
          <w:p>
            <w:pPr>
              <w:ind w:left="-57" w:right="-57"/>
              <w:spacing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0,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961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</w:tr>
    </w:tbl>
    <w:p>
      <w:pPr>
        <w:pStyle w:val="986"/>
        <w:ind w:left="0" w:firstLine="720"/>
        <w:jc w:val="both"/>
        <w:spacing w:line="240" w:lineRule="auto"/>
        <w:rPr>
          <w:rFonts w:ascii="Times New Roman" w:hAnsi="Times New Roman" w:cs="Times New Roman"/>
          <w:b/>
          <w:bCs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lang w:val="ru-RU"/>
        </w:rPr>
        <w:t xml:space="preserve">2.2.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lang w:val="ru-RU"/>
        </w:rPr>
        <w:t xml:space="preserve">В ходе разработки и реализации инвестиционной программы должны быть решены следующие задачи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lang w:val="ru-RU"/>
        </w:rPr>
        <w:t xml:space="preserve">:</w:t>
      </w:r>
      <w:r>
        <w:rPr>
          <w:rFonts w:ascii="Times New Roman" w:hAnsi="Times New Roman" w:cs="Times New Roman"/>
          <w:b/>
          <w:bCs/>
          <w:sz w:val="24"/>
          <w:szCs w:val="24"/>
        </w:rPr>
      </w:r>
      <w:r>
        <w:rPr>
          <w:rFonts w:ascii="Times New Roman" w:hAnsi="Times New Roman" w:cs="Times New Roman"/>
          <w:b/>
          <w:bCs/>
          <w:sz w:val="24"/>
          <w:szCs w:val="24"/>
        </w:rPr>
      </w:r>
    </w:p>
    <w:p>
      <w:pPr>
        <w:pStyle w:val="986"/>
        <w:ind w:left="0" w:firstLine="720"/>
        <w:jc w:val="both"/>
        <w:spacing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lang w:val="ru-RU"/>
        </w:rPr>
        <w:t xml:space="preserve">2.2.1. Обоснование мероприятий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lang w:val="ru-RU"/>
        </w:rPr>
        <w:t xml:space="preserve"> по строительству, реконструкции, </w:t>
      </w:r>
      <w:r>
        <w:rPr>
          <w:rFonts w:ascii="Times New Roman" w:hAnsi="Times New Roman" w:eastAsia="Times New Roman" w:cs="Times New Roman"/>
          <w:sz w:val="24"/>
          <w:szCs w:val="24"/>
          <w:lang w:val="ru-RU"/>
        </w:rPr>
        <w:t xml:space="preserve">модернизации</w:t>
      </w:r>
      <w:r>
        <w:rPr>
          <w:rFonts w:ascii="Times New Roman" w:hAnsi="Times New Roman" w:eastAsia="Times New Roman" w:cs="Times New Roman"/>
          <w:sz w:val="24"/>
          <w:szCs w:val="24"/>
          <w:lang w:val="ru-RU"/>
        </w:rPr>
        <w:t xml:space="preserve">  объектов централизованной системы водоотведения </w:t>
      </w:r>
      <w:r>
        <w:rPr>
          <w:rFonts w:ascii="Times New Roman" w:hAnsi="Times New Roman" w:eastAsia="Times New Roman" w:cs="Times New Roman"/>
          <w:color w:val="000000"/>
          <w:sz w:val="24"/>
        </w:rPr>
        <w:t xml:space="preserve">на территории Тайшетского городского поселения на 2025-2028 годы.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986"/>
        <w:ind w:left="0" w:firstLine="720"/>
        <w:jc w:val="both"/>
        <w:spacing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lang w:val="ru-RU"/>
        </w:rPr>
        <w:t xml:space="preserve">2.2.2 Определение объема финансовых потребностей, необходимых для осуществления финансирования указанных мероприятий;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986"/>
        <w:ind w:left="0" w:firstLine="720"/>
        <w:jc w:val="both"/>
        <w:spacing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lang w:val="ru-RU"/>
        </w:rPr>
        <w:t xml:space="preserve">2.2.3. Разработка плана финансирования работ, с указанием источников финансирования;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986"/>
        <w:ind w:left="0" w:firstLine="720"/>
        <w:jc w:val="both"/>
        <w:spacing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lang w:val="ru-RU"/>
        </w:rPr>
        <w:t xml:space="preserve">2.2.4. Развитие системы коммунальной инфраструктуры водоотведения в соответствии с разработанным планом мероприятий;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986"/>
        <w:ind w:left="0" w:firstLine="720"/>
        <w:jc w:val="both"/>
        <w:spacing w:line="240" w:lineRule="auto"/>
        <w:rPr>
          <w:rFonts w:ascii="Times New Roman" w:hAnsi="Times New Roman" w:eastAsia="Times New Roman" w:cs="Times New Roman"/>
          <w:sz w:val="24"/>
          <w:szCs w:val="24"/>
          <w:highlight w:val="none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lang w:val="ru-RU"/>
        </w:rPr>
        <w:t xml:space="preserve">2.2.5.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lang w:val="ru-RU"/>
        </w:rPr>
        <w:t xml:space="preserve"> Строительство, реконструкция, модернизация сетей водоотведения для присоединения новых потребителей.</w:t>
      </w:r>
      <w:r>
        <w:rPr>
          <w:rFonts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none"/>
        </w:rPr>
      </w:r>
    </w:p>
    <w:p>
      <w:pPr>
        <w:pStyle w:val="986"/>
        <w:ind w:left="0" w:firstLine="0"/>
        <w:jc w:val="center"/>
        <w:spacing w:line="240" w:lineRule="auto"/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none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none"/>
        </w:rPr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none"/>
        </w:rPr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none"/>
        </w:rPr>
      </w:r>
    </w:p>
    <w:p>
      <w:pPr>
        <w:ind w:left="0" w:right="0" w:firstLine="0"/>
        <w:jc w:val="center"/>
        <w:spacing w:line="240" w:lineRule="auto"/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highlight w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</w:rPr>
        <w:t xml:space="preserve">Ш. Перечень объектов капитального строительства абонентов, которых необходимо подключить к централизованным системам водоотведения.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highlight w:val="none"/>
        </w:rPr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highlight w:val="none"/>
        </w:rPr>
      </w:r>
    </w:p>
    <w:p>
      <w:pPr>
        <w:ind w:left="0" w:right="0" w:firstLine="0"/>
        <w:jc w:val="center"/>
        <w:spacing w:line="240" w:lineRule="auto"/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highlight w:val="none"/>
        </w:rPr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</w:r>
    </w:p>
    <w:p>
      <w:pPr>
        <w:ind w:left="0" w:right="0" w:firstLine="720"/>
        <w:jc w:val="both"/>
        <w:spacing w:after="0" w:line="240" w:lineRule="auto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3.1. Перечень объектов капитального строительства абонентов, которых необходимо подключить к централизованным системам водоотведения приведен ниже в таблице 2.</w:t>
      </w:r>
      <w:r/>
    </w:p>
    <w:p>
      <w:pPr>
        <w:ind w:left="0" w:right="0" w:firstLine="709"/>
        <w:jc w:val="right"/>
        <w:spacing w:after="0" w:line="240" w:lineRule="auto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Таблица 2</w:t>
      </w:r>
      <w:r/>
    </w:p>
    <w:p>
      <w:pPr>
        <w:ind w:left="0" w:right="0" w:firstLine="0"/>
        <w:jc w:val="center"/>
        <w:spacing w:after="0" w:line="240" w:lineRule="auto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Перечень объектов, планируемых к подключению</w:t>
      </w:r>
      <w:r/>
    </w:p>
    <w:p>
      <w:pPr>
        <w:ind w:left="0" w:right="0" w:firstLine="0"/>
        <w:jc w:val="center"/>
        <w:spacing w:after="0" w:line="240" w:lineRule="auto"/>
        <w:rPr>
          <w:rFonts w:ascii="Times New Roman" w:hAnsi="Times New Roman" w:eastAsia="Times New Roman" w:cs="Times New Roman"/>
          <w:color w:val="000000"/>
          <w:sz w:val="24"/>
          <w:szCs w:val="24"/>
          <w:highlight w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к централизованным системам водоотведения</w:t>
      </w:r>
      <w:r/>
    </w:p>
    <w:p>
      <w:pPr>
        <w:ind w:left="0" w:right="0" w:firstLine="0"/>
        <w:jc w:val="center"/>
        <w:spacing w:after="0" w:line="240" w:lineRule="auto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/>
      <w:r/>
    </w:p>
    <w:tbl>
      <w:tblPr>
        <w:tblStyle w:val="789"/>
        <w:tblW w:w="0" w:type="auto"/>
        <w:tblLayout w:type="fixed"/>
        <w:tblLook w:val="04A0" w:firstRow="1" w:lastRow="0" w:firstColumn="1" w:lastColumn="0" w:noHBand="0" w:noVBand="1"/>
      </w:tblPr>
      <w:tblGrid>
        <w:gridCol w:w="675"/>
        <w:gridCol w:w="2126"/>
        <w:gridCol w:w="850"/>
        <w:gridCol w:w="850"/>
        <w:gridCol w:w="709"/>
        <w:gridCol w:w="709"/>
        <w:gridCol w:w="709"/>
        <w:gridCol w:w="709"/>
        <w:gridCol w:w="2234"/>
      </w:tblGrid>
      <w:tr>
        <w:tblPrEx/>
        <w:trPr/>
        <w:tc>
          <w:tcPr>
            <w:tcW w:w="675" w:type="dxa"/>
            <w:vMerge w:val="restart"/>
            <w:textDirection w:val="lrTb"/>
            <w:noWrap w:val="false"/>
          </w:tcPr>
          <w:p>
            <w:pPr>
              <w:ind w:left="0" w:right="0" w:firstLine="0"/>
              <w:jc w:val="center"/>
              <w:spacing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№ п/п</w:t>
            </w:r>
            <w:r/>
            <w:r/>
          </w:p>
        </w:tc>
        <w:tc>
          <w:tcPr>
            <w:tcW w:w="2126" w:type="dxa"/>
            <w:vMerge w:val="restart"/>
            <w:textDirection w:val="lrTb"/>
            <w:noWrap w:val="false"/>
          </w:tcPr>
          <w:p>
            <w:pPr>
              <w:ind w:left="0" w:right="0" w:firstLine="0"/>
              <w:jc w:val="center"/>
              <w:spacing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Территория (Объект)</w:t>
            </w:r>
            <w:r/>
            <w:r/>
          </w:p>
        </w:tc>
        <w:tc>
          <w:tcPr>
            <w:tcW w:w="850" w:type="dxa"/>
            <w:vMerge w:val="restart"/>
            <w:textDirection w:val="lrTb"/>
            <w:noWrap w:val="false"/>
          </w:tcPr>
          <w:p>
            <w:pPr>
              <w:ind w:left="-113" w:right="-113" w:firstLine="0"/>
              <w:jc w:val="center"/>
              <w:spacing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Год подключения</w:t>
            </w:r>
            <w:r/>
            <w:r/>
          </w:p>
        </w:tc>
        <w:tc>
          <w:tcPr>
            <w:gridSpan w:val="5"/>
            <w:tcW w:w="3685" w:type="dxa"/>
            <w:textDirection w:val="lrTb"/>
            <w:noWrap w:val="false"/>
          </w:tcPr>
          <w:p>
            <w:pPr>
              <w:jc w:val="center"/>
              <w:spacing w:after="0"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Нагрузка подключаемых объектов, куб.м/сутки</w:t>
            </w:r>
            <w:r/>
            <w:r/>
          </w:p>
        </w:tc>
        <w:tc>
          <w:tcPr>
            <w:tcW w:w="2234" w:type="dxa"/>
            <w:vMerge w:val="restart"/>
            <w:textDirection w:val="lrTb"/>
            <w:noWrap w:val="false"/>
          </w:tcPr>
          <w:p>
            <w:pPr>
              <w:ind w:left="0" w:right="0" w:firstLine="0"/>
              <w:jc w:val="center"/>
              <w:spacing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Примечания</w:t>
            </w:r>
            <w:r/>
            <w:r/>
          </w:p>
        </w:tc>
      </w:tr>
      <w:tr>
        <w:tblPrEx/>
        <w:trPr>
          <w:trHeight w:val="276"/>
        </w:trPr>
        <w:tc>
          <w:tcPr>
            <w:tcW w:w="675" w:type="dxa"/>
            <w:vMerge w:val="continue"/>
            <w:textDirection w:val="lrTb"/>
            <w:noWrap w:val="false"/>
          </w:tcPr>
          <w:p>
            <w:r/>
            <w:r/>
            <w:r/>
          </w:p>
        </w:tc>
        <w:tc>
          <w:tcPr>
            <w:tcW w:w="2126" w:type="dxa"/>
            <w:vMerge w:val="continue"/>
            <w:textDirection w:val="lrTb"/>
            <w:noWrap w:val="false"/>
          </w:tcPr>
          <w:p>
            <w:r/>
            <w:r/>
            <w:r/>
          </w:p>
        </w:tc>
        <w:tc>
          <w:tcPr>
            <w:tcW w:w="850" w:type="dxa"/>
            <w:vMerge w:val="continue"/>
            <w:textDirection w:val="lrTb"/>
            <w:noWrap w:val="false"/>
          </w:tcPr>
          <w:p>
            <w:r/>
            <w:r/>
            <w:r/>
          </w:p>
        </w:tc>
        <w:tc>
          <w:tcPr>
            <w:tcW w:w="850" w:type="dxa"/>
            <w:vMerge w:val="restart"/>
            <w:textDirection w:val="lrTb"/>
            <w:noWrap w:val="false"/>
          </w:tcPr>
          <w:p>
            <w:pPr>
              <w:ind w:left="0" w:right="0" w:firstLine="0"/>
              <w:jc w:val="center"/>
              <w:spacing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Всего</w:t>
            </w:r>
            <w:r/>
            <w:r/>
          </w:p>
        </w:tc>
        <w:tc>
          <w:tcPr>
            <w:gridSpan w:val="4"/>
            <w:tcW w:w="2835" w:type="dxa"/>
            <w:textDirection w:val="lrTb"/>
            <w:noWrap w:val="false"/>
          </w:tcPr>
          <w:p>
            <w:pPr>
              <w:jc w:val="center"/>
              <w:spacing w:after="0"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в том числе по годам</w:t>
            </w:r>
            <w:r/>
            <w:r/>
          </w:p>
        </w:tc>
        <w:tc>
          <w:tcPr>
            <w:tcW w:w="2234" w:type="dxa"/>
            <w:vMerge w:val="continue"/>
            <w:textDirection w:val="lrTb"/>
            <w:noWrap w:val="false"/>
          </w:tcPr>
          <w:p>
            <w:r/>
            <w:r/>
            <w:r/>
          </w:p>
        </w:tc>
      </w:tr>
      <w:tr>
        <w:tblPrEx/>
        <w:trPr/>
        <w:tc>
          <w:tcPr>
            <w:tcW w:w="675" w:type="dxa"/>
            <w:vMerge w:val="continue"/>
            <w:textDirection w:val="lrTb"/>
            <w:noWrap w:val="false"/>
          </w:tcPr>
          <w:p>
            <w:r/>
            <w:r/>
            <w:r/>
          </w:p>
        </w:tc>
        <w:tc>
          <w:tcPr>
            <w:tcW w:w="2126" w:type="dxa"/>
            <w:vMerge w:val="continue"/>
            <w:textDirection w:val="lrTb"/>
            <w:noWrap w:val="false"/>
          </w:tcPr>
          <w:p>
            <w:r/>
            <w:r/>
            <w:r/>
          </w:p>
        </w:tc>
        <w:tc>
          <w:tcPr>
            <w:tcW w:w="850" w:type="dxa"/>
            <w:vMerge w:val="continue"/>
            <w:textDirection w:val="lrTb"/>
            <w:noWrap w:val="false"/>
          </w:tcPr>
          <w:p>
            <w:r/>
            <w:r/>
            <w:r/>
          </w:p>
        </w:tc>
        <w:tc>
          <w:tcPr>
            <w:tcW w:w="850" w:type="dxa"/>
            <w:vMerge w:val="continue"/>
            <w:textDirection w:val="lrTb"/>
            <w:noWrap w:val="false"/>
          </w:tcPr>
          <w:p>
            <w:r/>
            <w:r/>
            <w:r/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0" w:right="0" w:firstLine="0"/>
              <w:jc w:val="center"/>
              <w:spacing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2026</w:t>
            </w:r>
            <w:r/>
            <w:r/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0" w:right="0" w:firstLine="0"/>
              <w:jc w:val="center"/>
              <w:spacing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2027</w:t>
            </w:r>
            <w:r/>
            <w:r/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0" w:right="0" w:firstLine="0"/>
              <w:jc w:val="center"/>
              <w:spacing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2028</w:t>
            </w:r>
            <w:r/>
            <w:r/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0" w:right="0" w:firstLine="0"/>
              <w:jc w:val="center"/>
              <w:spacing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2029</w:t>
            </w:r>
            <w:r/>
            <w:r/>
          </w:p>
        </w:tc>
        <w:tc>
          <w:tcPr>
            <w:tcW w:w="2234" w:type="dxa"/>
            <w:vMerge w:val="continue"/>
            <w:textDirection w:val="lrTb"/>
            <w:noWrap w:val="false"/>
          </w:tcPr>
          <w:p>
            <w:r/>
            <w:r/>
            <w:r/>
          </w:p>
        </w:tc>
      </w:tr>
      <w:tr>
        <w:tblPrEx/>
        <w:trPr/>
        <w:tc>
          <w:tcPr>
            <w:tcW w:w="675" w:type="dxa"/>
            <w:textDirection w:val="lrTb"/>
            <w:noWrap w:val="false"/>
          </w:tcPr>
          <w:p>
            <w:pPr>
              <w:ind w:left="0" w:right="0" w:firstLine="0"/>
              <w:jc w:val="center"/>
              <w:spacing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1.1.</w:t>
            </w:r>
            <w:r/>
            <w:r/>
          </w:p>
        </w:tc>
        <w:tc>
          <w:tcPr>
            <w:tcW w:w="2126" w:type="dxa"/>
            <w:textDirection w:val="lrTb"/>
            <w:noWrap w:val="false"/>
          </w:tcPr>
          <w:p>
            <w:pPr>
              <w:ind w:left="-113" w:right="-113" w:firstLine="0"/>
              <w:jc w:val="center"/>
              <w:spacing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Строительство многоквартирного жилого дома, город Тайшет, ул.Зои Космодемьянской, дом 4</w:t>
            </w:r>
            <w:r/>
            <w:r/>
          </w:p>
        </w:tc>
        <w:tc>
          <w:tcPr>
            <w:tcW w:w="850" w:type="dxa"/>
            <w:textDirection w:val="lrTb"/>
            <w:noWrap w:val="false"/>
          </w:tcPr>
          <w:p>
            <w:pPr>
              <w:ind w:left="0" w:right="0" w:firstLine="0"/>
              <w:jc w:val="center"/>
              <w:spacing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2027</w:t>
            </w:r>
            <w:r/>
            <w:r/>
          </w:p>
        </w:tc>
        <w:tc>
          <w:tcPr>
            <w:tcW w:w="850" w:type="dxa"/>
            <w:textDirection w:val="lrTb"/>
            <w:noWrap w:val="false"/>
          </w:tcPr>
          <w:p>
            <w:pPr>
              <w:ind w:left="0" w:right="0" w:firstLine="0"/>
              <w:jc w:val="center"/>
              <w:spacing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/>
            <w:r/>
            <w:r/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0" w:right="0" w:firstLine="0"/>
              <w:jc w:val="center"/>
              <w:spacing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/>
            <w:r/>
            <w:r/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0" w:right="0" w:firstLine="0"/>
              <w:jc w:val="center"/>
              <w:spacing w:line="240" w:lineRule="auto"/>
              <w:rPr>
                <w:b w:val="0"/>
                <w:bCs w:val="0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</w:rPr>
              <w:t xml:space="preserve">14,7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0" w:right="0" w:firstLine="0"/>
              <w:jc w:val="center"/>
              <w:spacing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/>
            <w:r/>
            <w:r/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0" w:right="0" w:firstLine="0"/>
              <w:jc w:val="center"/>
              <w:spacing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/>
            <w:r/>
            <w:r/>
          </w:p>
        </w:tc>
        <w:tc>
          <w:tcPr>
            <w:tcW w:w="2234" w:type="dxa"/>
            <w:textDirection w:val="lrTb"/>
            <w:noWrap w:val="false"/>
          </w:tcPr>
          <w:p>
            <w:pPr>
              <w:ind w:left="-57" w:right="-113" w:firstLine="0"/>
              <w:jc w:val="center"/>
              <w:spacing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Единая точка подсоединения КК-341(проектируемый) до КК-190 и от КК-190 до КК-169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 по ул.Горького</w:t>
            </w:r>
            <w:r/>
            <w:r/>
          </w:p>
        </w:tc>
      </w:tr>
      <w:tr>
        <w:tblPrEx/>
        <w:trPr/>
        <w:tc>
          <w:tcPr>
            <w:tcW w:w="675" w:type="dxa"/>
            <w:textDirection w:val="lrTb"/>
            <w:noWrap w:val="false"/>
          </w:tcPr>
          <w:p>
            <w:pPr>
              <w:jc w:val="center"/>
              <w:spacing w:after="0"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/>
            <w:r/>
            <w:r/>
          </w:p>
        </w:tc>
        <w:tc>
          <w:tcPr>
            <w:tcW w:w="2126" w:type="dxa"/>
            <w:textDirection w:val="lrTb"/>
            <w:noWrap w:val="false"/>
          </w:tcPr>
          <w:p>
            <w:pPr>
              <w:jc w:val="center"/>
              <w:spacing w:after="0"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t xml:space="preserve">Итого:</w:t>
            </w:r>
            <w:r/>
            <w:r/>
          </w:p>
        </w:tc>
        <w:tc>
          <w:tcPr>
            <w:tcW w:w="850" w:type="dxa"/>
            <w:textDirection w:val="lrTb"/>
            <w:noWrap w:val="false"/>
          </w:tcPr>
          <w:p>
            <w:pPr>
              <w:jc w:val="center"/>
              <w:spacing w:after="0"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/>
            <w:r/>
            <w:r/>
          </w:p>
        </w:tc>
        <w:tc>
          <w:tcPr>
            <w:tcW w:w="850" w:type="dxa"/>
            <w:textDirection w:val="lrTb"/>
            <w:noWrap w:val="false"/>
          </w:tcPr>
          <w:p>
            <w:pPr>
              <w:jc w:val="center"/>
              <w:spacing w:after="0"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/>
            <w:r/>
            <w:r/>
          </w:p>
        </w:tc>
        <w:tc>
          <w:tcPr>
            <w:tcW w:w="709" w:type="dxa"/>
            <w:textDirection w:val="lrTb"/>
            <w:noWrap w:val="false"/>
          </w:tcPr>
          <w:p>
            <w:pPr>
              <w:jc w:val="center"/>
              <w:spacing w:after="0"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/>
            <w:r/>
            <w:r/>
          </w:p>
        </w:tc>
        <w:tc>
          <w:tcPr>
            <w:tcW w:w="709" w:type="dxa"/>
            <w:textDirection w:val="lrTb"/>
            <w:noWrap w:val="false"/>
          </w:tcPr>
          <w:p>
            <w:pPr>
              <w:jc w:val="center"/>
              <w:spacing w:after="0"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t xml:space="preserve">14,7</w:t>
            </w:r>
            <w:r/>
            <w:r/>
          </w:p>
        </w:tc>
        <w:tc>
          <w:tcPr>
            <w:tcW w:w="709" w:type="dxa"/>
            <w:textDirection w:val="lrTb"/>
            <w:noWrap w:val="false"/>
          </w:tcPr>
          <w:p>
            <w:pPr>
              <w:jc w:val="center"/>
              <w:spacing w:after="0"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/>
            <w:r/>
            <w:r/>
          </w:p>
        </w:tc>
        <w:tc>
          <w:tcPr>
            <w:tcW w:w="709" w:type="dxa"/>
            <w:textDirection w:val="lrTb"/>
            <w:noWrap w:val="false"/>
          </w:tcPr>
          <w:p>
            <w:pPr>
              <w:jc w:val="center"/>
              <w:spacing w:after="0"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/>
            <w:r/>
            <w:r/>
          </w:p>
        </w:tc>
        <w:tc>
          <w:tcPr>
            <w:tcW w:w="2234" w:type="dxa"/>
            <w:textDirection w:val="lrTb"/>
            <w:noWrap w:val="false"/>
          </w:tcPr>
          <w:p>
            <w:pPr>
              <w:jc w:val="center"/>
              <w:spacing w:after="0"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/>
            <w:r/>
            <w:r/>
          </w:p>
        </w:tc>
      </w:tr>
      <w:tr>
        <w:tblPrEx/>
        <w:trPr/>
        <w:tc>
          <w:tcPr>
            <w:tcW w:w="675" w:type="dxa"/>
            <w:textDirection w:val="lrTb"/>
            <w:noWrap w:val="false"/>
          </w:tcPr>
          <w:p>
            <w:pPr>
              <w:jc w:val="center"/>
              <w:spacing w:after="0"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/>
            <w:r/>
            <w:r/>
          </w:p>
        </w:tc>
        <w:tc>
          <w:tcPr>
            <w:tcW w:w="2126" w:type="dxa"/>
            <w:textDirection w:val="lrTb"/>
            <w:noWrap w:val="false"/>
          </w:tcPr>
          <w:p>
            <w:pPr>
              <w:jc w:val="center"/>
              <w:spacing w:after="0"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t xml:space="preserve">Всего:</w:t>
            </w:r>
            <w:r/>
            <w:r/>
          </w:p>
        </w:tc>
        <w:tc>
          <w:tcPr>
            <w:tcW w:w="850" w:type="dxa"/>
            <w:textDirection w:val="lrTb"/>
            <w:noWrap w:val="false"/>
          </w:tcPr>
          <w:p>
            <w:pPr>
              <w:jc w:val="center"/>
              <w:spacing w:after="0"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/>
            <w:r/>
            <w:r/>
          </w:p>
        </w:tc>
        <w:tc>
          <w:tcPr>
            <w:tcW w:w="850" w:type="dxa"/>
            <w:textDirection w:val="lrTb"/>
            <w:noWrap w:val="false"/>
          </w:tcPr>
          <w:p>
            <w:pPr>
              <w:jc w:val="center"/>
              <w:spacing w:after="0"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/>
            <w:r/>
            <w:r/>
          </w:p>
        </w:tc>
        <w:tc>
          <w:tcPr>
            <w:tcW w:w="709" w:type="dxa"/>
            <w:textDirection w:val="lrTb"/>
            <w:noWrap w:val="false"/>
          </w:tcPr>
          <w:p>
            <w:pPr>
              <w:jc w:val="center"/>
              <w:spacing w:after="0"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/>
            <w:r/>
            <w:r/>
          </w:p>
        </w:tc>
        <w:tc>
          <w:tcPr>
            <w:tcW w:w="709" w:type="dxa"/>
            <w:textDirection w:val="lrTb"/>
            <w:noWrap w:val="false"/>
          </w:tcPr>
          <w:p>
            <w:pPr>
              <w:jc w:val="center"/>
              <w:spacing w:after="0"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t xml:space="preserve">14,7</w:t>
            </w:r>
            <w:r/>
            <w:r/>
          </w:p>
        </w:tc>
        <w:tc>
          <w:tcPr>
            <w:tcW w:w="709" w:type="dxa"/>
            <w:textDirection w:val="lrTb"/>
            <w:noWrap w:val="false"/>
          </w:tcPr>
          <w:p>
            <w:pPr>
              <w:jc w:val="center"/>
              <w:spacing w:after="0"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/>
            <w:r/>
            <w:r/>
          </w:p>
        </w:tc>
        <w:tc>
          <w:tcPr>
            <w:tcW w:w="709" w:type="dxa"/>
            <w:textDirection w:val="lrTb"/>
            <w:noWrap w:val="false"/>
          </w:tcPr>
          <w:p>
            <w:pPr>
              <w:jc w:val="center"/>
              <w:spacing w:after="0"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/>
            <w:r/>
            <w:r/>
          </w:p>
        </w:tc>
        <w:tc>
          <w:tcPr>
            <w:tcW w:w="2234" w:type="dxa"/>
            <w:textDirection w:val="lrTb"/>
            <w:noWrap w:val="false"/>
          </w:tcPr>
          <w:p>
            <w:pPr>
              <w:jc w:val="center"/>
              <w:spacing w:after="0"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/>
            <w:r/>
            <w:r/>
          </w:p>
        </w:tc>
      </w:tr>
    </w:tbl>
    <w:p>
      <w:pPr>
        <w:pStyle w:val="986"/>
        <w:ind w:left="0" w:firstLine="0"/>
        <w:jc w:val="center"/>
        <w:spacing w:line="240" w:lineRule="auto"/>
        <w:rPr>
          <w:rFonts w:ascii="Times New Roman" w:hAnsi="Times New Roman" w:cs="Times New Roman"/>
          <w:b w:val="0"/>
          <w:bCs w:val="0"/>
          <w:sz w:val="24"/>
          <w:szCs w:val="24"/>
        </w:rPr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none"/>
          <w:lang w:val="ru-RU"/>
        </w:rPr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none"/>
          <w:lang w:val="ru-RU"/>
        </w:rPr>
      </w:r>
    </w:p>
    <w:p>
      <w:pPr>
        <w:pStyle w:val="986"/>
        <w:ind w:left="0" w:firstLine="0"/>
        <w:jc w:val="center"/>
        <w:spacing w:line="240" w:lineRule="auto"/>
        <w:rPr>
          <w:rFonts w:ascii="Times New Roman" w:hAnsi="Times New Roman" w:cs="Times New Roman"/>
          <w:b w:val="0"/>
          <w:bCs w:val="0"/>
          <w:sz w:val="24"/>
          <w:szCs w:val="24"/>
          <w:highlight w:val="none"/>
        </w:rPr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I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lang w:val="en-US"/>
        </w:rPr>
        <w:t xml:space="preserve">V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lang w:val="ru-RU"/>
        </w:rPr>
        <w:t xml:space="preserve">. Требования к инвестиционной программе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none"/>
        </w:rPr>
      </w:r>
    </w:p>
    <w:p>
      <w:pPr>
        <w:pStyle w:val="915"/>
        <w:ind w:left="567" w:firstLine="0"/>
        <w:jc w:val="center"/>
        <w:spacing w:line="240" w:lineRule="auto"/>
        <w:rPr>
          <w:rFonts w:ascii="Times New Roman" w:hAnsi="Times New Roman" w:cs="Times New Roman"/>
          <w:b w:val="0"/>
          <w:bCs w:val="0"/>
          <w:sz w:val="24"/>
          <w:szCs w:val="24"/>
        </w:rPr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</w:rPr>
      </w:r>
    </w:p>
    <w:p>
      <w:pPr>
        <w:pStyle w:val="915"/>
        <w:ind w:firstLine="720"/>
        <w:jc w:val="both"/>
        <w:spacing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eastAsia="Times New Roman" w:cs="Times New Roman"/>
          <w:sz w:val="24"/>
          <w:szCs w:val="24"/>
        </w:rPr>
        <w:t xml:space="preserve">4.1. Инвестиционная программа должна содержать: 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915"/>
        <w:ind w:firstLine="720"/>
        <w:jc w:val="both"/>
        <w:spacing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eastAsia="Times New Roman" w:cs="Times New Roman"/>
          <w:sz w:val="24"/>
          <w:szCs w:val="24"/>
        </w:rPr>
        <w:t xml:space="preserve">4.1.1. Паспорт инвестиционной программы;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915"/>
        <w:ind w:firstLine="720"/>
        <w:jc w:val="both"/>
        <w:spacing w:line="240" w:lineRule="auto"/>
        <w:shd w:val="clear" w:color="auto" w:fill="ffffff"/>
        <w:rPr>
          <w:rFonts w:ascii="Times New Roman" w:hAnsi="Times New Roman" w:eastAsia="Times New Roman" w:cs="Times New Roman"/>
          <w:sz w:val="24"/>
          <w:szCs w:val="24"/>
        </w:rPr>
        <w:suppressLineNumbers w:val="0"/>
      </w:pPr>
      <w:r>
        <w:rPr>
          <w:rFonts w:eastAsia="Times New Roman" w:cs="Times New Roman"/>
          <w:color w:val="1a1a1a"/>
          <w:sz w:val="24"/>
          <w:szCs w:val="24"/>
        </w:rPr>
        <w:t xml:space="preserve">4.1.2.</w:t>
      </w:r>
      <w:r>
        <w:rPr>
          <w:rFonts w:eastAsia="Times New Roman" w:cs="Times New Roman"/>
          <w:sz w:val="24"/>
          <w:szCs w:val="24"/>
        </w:rPr>
        <w:t xml:space="preserve"> Перечень </w:t>
      </w:r>
      <w:r>
        <w:rPr>
          <w:rFonts w:eastAsia="Times New Roman" w:cs="Times New Roman"/>
          <w:sz w:val="24"/>
          <w:szCs w:val="24"/>
        </w:rPr>
        <w:t xml:space="preserve">мероприятий по подготовке проектной документации, строительству, реконструкции и модернизации объектов централизованных систем водоотведения, описание и план технических мероприятий инвестиционной программы, направленных на развитие системы водоотведения. </w:t>
      </w: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pStyle w:val="915"/>
        <w:ind w:firstLine="720"/>
        <w:jc w:val="both"/>
        <w:spacing w:line="240" w:lineRule="auto"/>
        <w:shd w:val="clear" w:color="auto" w:fill="ffffff"/>
        <w:rPr>
          <w:rFonts w:ascii="Times New Roman" w:hAnsi="Times New Roman" w:cs="Times New Roman"/>
          <w:color w:val="1a1a1a"/>
          <w:sz w:val="24"/>
          <w:szCs w:val="24"/>
        </w:rPr>
        <w:suppressLineNumbers w:val="0"/>
      </w:pPr>
      <w:r>
        <w:rPr>
          <w:rFonts w:eastAsia="Times New Roman" w:cs="Times New Roman"/>
          <w:sz w:val="24"/>
          <w:szCs w:val="24"/>
        </w:rPr>
        <w:t xml:space="preserve">По каждому мероприятию необходимо указывать адрес объекта и год, в котором планируется его реализация;</w:t>
      </w:r>
      <w:r>
        <w:rPr>
          <w:rFonts w:ascii="Times New Roman" w:hAnsi="Times New Roman" w:cs="Times New Roman"/>
          <w:color w:val="1a1a1a"/>
          <w:sz w:val="24"/>
          <w:szCs w:val="24"/>
        </w:rPr>
      </w:r>
      <w:r>
        <w:rPr>
          <w:rFonts w:ascii="Times New Roman" w:hAnsi="Times New Roman" w:cs="Times New Roman"/>
          <w:color w:val="1a1a1a"/>
          <w:sz w:val="24"/>
          <w:szCs w:val="24"/>
        </w:rPr>
      </w:r>
    </w:p>
    <w:p>
      <w:pPr>
        <w:pStyle w:val="915"/>
        <w:ind w:firstLine="720"/>
        <w:jc w:val="both"/>
        <w:spacing w:line="240" w:lineRule="auto"/>
        <w:rPr>
          <w:rFonts w:ascii="Times New Roman" w:hAnsi="Times New Roman" w:eastAsia="Times New Roman" w:cs="Times New Roman"/>
          <w:sz w:val="24"/>
          <w:szCs w:val="24"/>
        </w:rPr>
        <w:suppressLineNumbers w:val="0"/>
      </w:pPr>
      <w:r>
        <w:rPr>
          <w:rFonts w:eastAsia="Times New Roman" w:cs="Times New Roman"/>
          <w:sz w:val="24"/>
          <w:szCs w:val="24"/>
        </w:rPr>
        <w:t xml:space="preserve">4.1.3. График реализации мероприятий инвестиционной программы, включая график ввода объектов централизованных систем водоотведения и в эксплуатацию;</w:t>
      </w: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pStyle w:val="915"/>
        <w:ind w:firstLine="720"/>
        <w:jc w:val="both"/>
        <w:spacing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eastAsia="Times New Roman" w:cs="Times New Roman"/>
          <w:sz w:val="24"/>
          <w:szCs w:val="24"/>
        </w:rPr>
        <w:t xml:space="preserve">4.1.4.</w:t>
      </w:r>
      <w:r>
        <w:rPr>
          <w:sz w:val="24"/>
        </w:rPr>
        <w:t xml:space="preserve"> Источники финансирования инвестиционной программы с разделением по видам деятельности, по годам и по мероприятиям;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ind w:firstLine="720"/>
        <w:jc w:val="both"/>
        <w:spacing w:line="240" w:lineRule="auto"/>
        <w:shd w:val="clear" w:color="auto" w:fill="ffffff"/>
        <w:rPr>
          <w:sz w:val="24"/>
          <w:szCs w:val="24"/>
          <w:highlight w:val="none"/>
        </w:rPr>
        <w:suppressLineNumbers w:val="0"/>
      </w:pPr>
      <w:r>
        <w:rPr>
          <w:highlight w:val="none"/>
        </w:rPr>
        <w:t xml:space="preserve">4.1.5.</w:t>
      </w:r>
      <w:r>
        <w:rPr>
          <w:sz w:val="24"/>
        </w:rPr>
        <w:t xml:space="preserve"> Расчет </w:t>
      </w:r>
      <w:r>
        <w:rPr>
          <w:sz w:val="24"/>
        </w:rPr>
        <w:t xml:space="preserve">эффективности инвестирования средств, осуществляемый путем сопоставления динамики показателей надежности, качества и энергоэффективности объектов централизованных систем водоотведения и расходов на реализацию инвестиционной программы;</w:t>
      </w:r>
      <w:r>
        <w:rPr>
          <w:sz w:val="24"/>
          <w:szCs w:val="24"/>
          <w:highlight w:val="none"/>
        </w:rPr>
      </w:r>
      <w:r>
        <w:rPr>
          <w:sz w:val="24"/>
          <w:szCs w:val="24"/>
          <w:highlight w:val="none"/>
        </w:rPr>
      </w:r>
    </w:p>
    <w:p>
      <w:pPr>
        <w:ind w:firstLine="720"/>
        <w:jc w:val="both"/>
        <w:spacing w:line="240" w:lineRule="auto"/>
        <w:shd w:val="clear" w:color="auto" w:fill="ffffff"/>
        <w:rPr>
          <w:rFonts w:ascii="Times New Roman" w:hAnsi="Times New Roman" w:cs="Times New Roman"/>
          <w:color w:val="1a1a1a"/>
          <w:sz w:val="24"/>
          <w:szCs w:val="24"/>
        </w:rPr>
        <w:suppressLineNumbers w:val="0"/>
      </w:pPr>
      <w:r>
        <w:rPr>
          <w:sz w:val="24"/>
          <w:highlight w:val="none"/>
        </w:rPr>
        <w:t xml:space="preserve">4.1.6.</w:t>
      </w:r>
      <w:r>
        <w:rPr>
          <w:sz w:val="24"/>
        </w:rPr>
        <w:t xml:space="preserve"> Предварительный расчет тарифов в сфере водоснабжения и водоотведения на период реализации инвестиционной программы;</w:t>
      </w:r>
      <w:r>
        <w:rPr>
          <w:rFonts w:ascii="Times New Roman" w:hAnsi="Times New Roman" w:cs="Times New Roman"/>
          <w:color w:val="1a1a1a"/>
          <w:sz w:val="24"/>
          <w:szCs w:val="24"/>
        </w:rPr>
      </w:r>
      <w:r>
        <w:rPr>
          <w:rFonts w:ascii="Times New Roman" w:hAnsi="Times New Roman" w:cs="Times New Roman"/>
          <w:color w:val="1a1a1a"/>
          <w:sz w:val="24"/>
          <w:szCs w:val="24"/>
        </w:rPr>
      </w:r>
    </w:p>
    <w:p>
      <w:pPr>
        <w:pStyle w:val="915"/>
        <w:ind w:firstLine="720"/>
        <w:jc w:val="both"/>
        <w:spacing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eastAsia="Times New Roman" w:cs="Times New Roman"/>
          <w:sz w:val="24"/>
          <w:szCs w:val="24"/>
        </w:rPr>
        <w:t xml:space="preserve">4.1.7. Цели и задачи инвестиционной программы;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915"/>
        <w:ind w:firstLine="720"/>
        <w:jc w:val="both"/>
        <w:spacing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eastAsia="Times New Roman" w:cs="Times New Roman"/>
          <w:sz w:val="24"/>
          <w:szCs w:val="24"/>
        </w:rPr>
        <w:t xml:space="preserve">4.1.8. Ожидаемые результ</w:t>
      </w:r>
      <w:r>
        <w:rPr>
          <w:rFonts w:eastAsia="Times New Roman" w:cs="Times New Roman"/>
          <w:sz w:val="24"/>
          <w:szCs w:val="24"/>
        </w:rPr>
        <w:t xml:space="preserve">аты реализации мероприятий, представленные в виде целевых индикаторов на текущий момент, на отдельных этапах и на момент завершения реализации инвестиционной программы, должны соответствовать значениям целевых показателей и индикаторов, согласно таблице 1;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915"/>
        <w:ind w:firstLine="720"/>
        <w:jc w:val="both"/>
        <w:spacing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eastAsia="Times New Roman" w:cs="Times New Roman"/>
          <w:sz w:val="24"/>
          <w:szCs w:val="24"/>
        </w:rPr>
        <w:t xml:space="preserve">4.2. К проекту инвестиционной программы должны прилагаться: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915"/>
        <w:ind w:firstLine="720"/>
        <w:jc w:val="both"/>
        <w:spacing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eastAsia="Times New Roman" w:cs="Times New Roman"/>
          <w:sz w:val="24"/>
          <w:szCs w:val="24"/>
        </w:rPr>
        <w:t xml:space="preserve">4.2.1. Пояснительная записка;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915"/>
        <w:ind w:firstLine="720"/>
        <w:jc w:val="both"/>
        <w:spacing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eastAsia="Times New Roman" w:cs="Times New Roman"/>
          <w:sz w:val="24"/>
          <w:szCs w:val="24"/>
        </w:rPr>
        <w:t xml:space="preserve">4.2.2. Технико-экономическое обоснование;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915"/>
        <w:ind w:left="0" w:firstLine="0"/>
        <w:jc w:val="center"/>
        <w:spacing w:line="240" w:lineRule="auto"/>
        <w:rPr>
          <w:rFonts w:ascii="Times New Roman" w:hAnsi="Times New Roman" w:cs="Times New Roman"/>
          <w:b w:val="0"/>
          <w:bCs w:val="0"/>
          <w:sz w:val="24"/>
          <w:szCs w:val="24"/>
        </w:rPr>
        <w:suppressLineNumbers w:val="0"/>
      </w:pPr>
      <w:r>
        <w:rPr>
          <w:rFonts w:cs="Times New Roman"/>
          <w:b w:val="0"/>
          <w:bCs w:val="0"/>
          <w:sz w:val="24"/>
          <w:szCs w:val="24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</w:rPr>
      </w:r>
    </w:p>
    <w:p>
      <w:pPr>
        <w:pStyle w:val="915"/>
        <w:ind w:left="0" w:firstLine="709"/>
        <w:jc w:val="center"/>
        <w:spacing w:line="240" w:lineRule="auto"/>
        <w:rPr>
          <w:rFonts w:ascii="Times New Roman" w:hAnsi="Times New Roman" w:cs="Times New Roman"/>
          <w:b w:val="0"/>
          <w:bCs w:val="0"/>
          <w:sz w:val="24"/>
          <w:szCs w:val="24"/>
          <w:highlight w:val="none"/>
        </w:rPr>
        <w:suppressLineNumbers w:val="0"/>
      </w:pPr>
      <w:r>
        <w:rPr>
          <w:rFonts w:eastAsia="Times New Roman" w:cs="Times New Roman"/>
          <w:b w:val="0"/>
          <w:bCs w:val="0"/>
          <w:sz w:val="24"/>
          <w:szCs w:val="24"/>
          <w:lang w:val="en-US"/>
        </w:rPr>
        <w:t xml:space="preserve">V</w:t>
      </w:r>
      <w:r>
        <w:rPr>
          <w:rFonts w:eastAsia="Times New Roman" w:cs="Times New Roman"/>
          <w:b w:val="0"/>
          <w:bCs w:val="0"/>
          <w:sz w:val="24"/>
          <w:szCs w:val="24"/>
        </w:rPr>
        <w:t xml:space="preserve">. </w:t>
      </w:r>
      <w:r>
        <w:rPr>
          <w:rFonts w:eastAsia="Times New Roman" w:cs="Times New Roman"/>
          <w:b w:val="0"/>
          <w:bCs w:val="0"/>
          <w:sz w:val="24"/>
          <w:szCs w:val="24"/>
        </w:rPr>
        <w:t xml:space="preserve">Сроки разработки инвестиционной программы</w:t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none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none"/>
        </w:rPr>
      </w:r>
    </w:p>
    <w:p>
      <w:pPr>
        <w:ind w:left="0" w:firstLine="0"/>
        <w:jc w:val="center"/>
        <w:spacing w:line="240" w:lineRule="auto"/>
        <w:rPr>
          <w:rFonts w:ascii="Times New Roman" w:hAnsi="Times New Roman" w:cs="Times New Roman"/>
          <w:b w:val="0"/>
          <w:bCs w:val="0"/>
          <w:sz w:val="24"/>
          <w:szCs w:val="24"/>
        </w:rPr>
        <w:suppressLineNumbers w:val="0"/>
      </w:pPr>
      <w:r>
        <w:rPr>
          <w:rFonts w:ascii="Times New Roman" w:hAnsi="Times New Roman" w:cs="Times New Roman"/>
          <w:b w:val="0"/>
          <w:bCs w:val="0"/>
          <w:sz w:val="24"/>
          <w:szCs w:val="24"/>
          <w:highlight w:val="none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</w:rPr>
      </w:r>
    </w:p>
    <w:p>
      <w:pPr>
        <w:pStyle w:val="915"/>
        <w:ind w:right="0" w:firstLine="720"/>
        <w:jc w:val="both"/>
        <w:spacing w:line="240" w:lineRule="auto"/>
        <w:rPr>
          <w:rFonts w:ascii="Times New Roman" w:hAnsi="Times New Roman" w:cs="Times New Roman"/>
          <w:bCs/>
          <w:sz w:val="24"/>
          <w:szCs w:val="24"/>
        </w:rPr>
        <w:suppressLineNumbers w:val="0"/>
      </w:pPr>
      <w:r>
        <w:rPr>
          <w:rFonts w:eastAsia="Times New Roman" w:cs="Times New Roman"/>
          <w:sz w:val="24"/>
          <w:szCs w:val="24"/>
        </w:rPr>
        <w:t xml:space="preserve">5.1. Срок разработки инвестиционной программы – три месяца с момента утверждения технического задания на разработку инвестиционной программы </w:t>
      </w:r>
      <w:r>
        <w:rPr>
          <w:rFonts w:eastAsia="Times New Roman" w:cs="Times New Roman"/>
          <w:bCs/>
          <w:sz w:val="24"/>
          <w:szCs w:val="24"/>
        </w:rPr>
        <w:t xml:space="preserve">ООО «Биоочистка» «Строительству, реконструкции и модернизации объектов централизованных систем водоотведения на территории Тайшетского городского поселения на период 2025-2028годы</w:t>
      </w:r>
      <w:r>
        <w:rPr>
          <w:rFonts w:ascii="Times New Roman" w:hAnsi="Times New Roman" w:cs="Times New Roman"/>
          <w:bCs/>
          <w:sz w:val="24"/>
          <w:szCs w:val="24"/>
        </w:rPr>
        <w:t xml:space="preserve">».</w:t>
      </w:r>
      <w:r>
        <w:rPr>
          <w:rFonts w:ascii="Times New Roman" w:hAnsi="Times New Roman" w:cs="Times New Roman"/>
          <w:bCs/>
          <w:sz w:val="24"/>
          <w:szCs w:val="24"/>
        </w:rPr>
      </w:r>
      <w:r>
        <w:rPr>
          <w:rFonts w:ascii="Times New Roman" w:hAnsi="Times New Roman" w:cs="Times New Roman"/>
          <w:bCs/>
          <w:sz w:val="24"/>
          <w:szCs w:val="24"/>
        </w:rPr>
      </w:r>
    </w:p>
    <w:p>
      <w:pPr>
        <w:pStyle w:val="987"/>
        <w:ind w:left="0" w:right="0" w:firstLine="0"/>
        <w:spacing w:line="240" w:lineRule="auto"/>
        <w:rPr>
          <w:rFonts w:ascii="Times New Roman" w:hAnsi="Times New Roman" w:cs="Times New Roman"/>
          <w:b w:val="0"/>
          <w:bCs w:val="0"/>
          <w:sz w:val="24"/>
          <w:szCs w:val="24"/>
        </w:rPr>
      </w:pPr>
      <w:r>
        <w:rPr>
          <w:rFonts w:cs="Times New Roman"/>
          <w:b w:val="0"/>
          <w:bCs w:val="0"/>
          <w:sz w:val="24"/>
          <w:szCs w:val="24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</w:rPr>
      </w:r>
    </w:p>
    <w:p>
      <w:pPr>
        <w:pStyle w:val="915"/>
        <w:ind w:left="567" w:firstLine="0"/>
        <w:jc w:val="center"/>
        <w:spacing w:line="240" w:lineRule="auto"/>
        <w:rPr>
          <w:rFonts w:ascii="Times New Roman" w:hAnsi="Times New Roman" w:cs="Times New Roman"/>
          <w:b w:val="0"/>
          <w:bCs w:val="0"/>
          <w:sz w:val="24"/>
          <w:szCs w:val="24"/>
        </w:rPr>
      </w:pPr>
      <w:r>
        <w:rPr>
          <w:rFonts w:eastAsia="Times New Roman" w:cs="Times New Roman"/>
          <w:b w:val="0"/>
          <w:bCs w:val="0"/>
          <w:sz w:val="24"/>
          <w:szCs w:val="24"/>
          <w:lang w:val="en-US"/>
        </w:rPr>
        <w:t xml:space="preserve">V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I</w:t>
      </w:r>
      <w:r>
        <w:rPr>
          <w:rFonts w:eastAsia="Times New Roman" w:cs="Times New Roman"/>
          <w:b w:val="0"/>
          <w:bCs w:val="0"/>
          <w:sz w:val="24"/>
          <w:szCs w:val="24"/>
          <w:lang w:val="en-US"/>
        </w:rPr>
        <w:t xml:space="preserve">.</w:t>
      </w:r>
      <w:r>
        <w:rPr>
          <w:rFonts w:eastAsia="Times New Roman" w:cs="Times New Roman"/>
          <w:b w:val="0"/>
          <w:bCs w:val="0"/>
          <w:sz w:val="24"/>
          <w:szCs w:val="24"/>
        </w:rPr>
        <w:t xml:space="preserve"> Порядок и форма предоставления, рассмотрения и утверждения инвестиционной программы</w:t>
      </w:r>
      <w:r>
        <w:rPr>
          <w:rFonts w:ascii="Times New Roman" w:hAnsi="Times New Roman" w:cs="Times New Roman"/>
          <w:b w:val="0"/>
          <w:bCs w:val="0"/>
          <w:sz w:val="24"/>
          <w:szCs w:val="24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</w:rPr>
      </w:r>
    </w:p>
    <w:p>
      <w:pPr>
        <w:pStyle w:val="915"/>
        <w:ind w:left="567" w:firstLine="0"/>
        <w:jc w:val="center"/>
        <w:spacing w:line="240" w:lineRule="auto"/>
        <w:rPr>
          <w:rFonts w:ascii="Times New Roman" w:hAnsi="Times New Roman" w:cs="Times New Roman"/>
          <w:b w:val="0"/>
          <w:bCs w:val="0"/>
          <w:sz w:val="24"/>
          <w:szCs w:val="24"/>
        </w:rPr>
      </w:pPr>
      <w:r>
        <w:rPr>
          <w:rFonts w:cs="Times New Roman"/>
          <w:b w:val="0"/>
          <w:bCs w:val="0"/>
          <w:sz w:val="24"/>
          <w:szCs w:val="24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</w:rPr>
      </w:r>
    </w:p>
    <w:p>
      <w:pPr>
        <w:pStyle w:val="986"/>
        <w:ind w:left="0" w:firstLine="720"/>
        <w:jc w:val="both"/>
        <w:spacing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lang w:val="ru-RU"/>
        </w:rPr>
        <w:t xml:space="preserve">6.1. Инвестиционная программа разрабатывается на основании: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986"/>
        <w:ind w:left="0" w:firstLine="720"/>
        <w:jc w:val="both"/>
        <w:spacing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lang w:val="ru-RU"/>
        </w:rPr>
        <w:t xml:space="preserve">Федерального закона Российской Федерации от 30 декабря 2004 года № 210-ФЗ «Об основах регулирования тарифов организаций коммунального комплекса», Постановления Правительства Российской Федерации от 29 июля 2013 год №</w:t>
      </w:r>
      <w:r>
        <w:rPr>
          <w:rFonts w:ascii="Times New Roman" w:hAnsi="Times New Roman" w:eastAsia="Times New Roman" w:cs="Times New Roman"/>
          <w:sz w:val="24"/>
          <w:szCs w:val="24"/>
          <w:lang w:val="ru-RU"/>
        </w:rPr>
        <w:t xml:space="preserve"> 641 «Об инвестиционных и производственных программах организаций, осуществляющих деятельность в сфере водоснабжения и водоотведения», Постановления Правительства Российской Федерации от 05 сентября 2013 года №782 «О схемах водоснабжения </w:t>
      </w:r>
      <w:r>
        <w:rPr>
          <w:rFonts w:ascii="Times New Roman" w:hAnsi="Times New Roman" w:eastAsia="Times New Roman" w:cs="Times New Roman"/>
          <w:sz w:val="24"/>
          <w:szCs w:val="24"/>
          <w:lang w:val="ru-RU"/>
        </w:rPr>
        <w:t xml:space="preserve">и водоотведения», Приказа Министерства Регионального развития Российской Федерации от 10 октября 2007 года №99 «Об утверждении методических рекомендаций по подготовке технических заданий по разработке инвестиционных программ организаций коммунального компле</w:t>
      </w:r>
      <w:r>
        <w:rPr>
          <w:rFonts w:ascii="Times New Roman" w:hAnsi="Times New Roman" w:eastAsia="Times New Roman" w:cs="Times New Roman"/>
          <w:sz w:val="24"/>
          <w:szCs w:val="24"/>
          <w:lang w:val="ru-RU"/>
        </w:rPr>
        <w:t xml:space="preserve">кса», Приказа Министерства регионального развития от 10 октября 2007 года №100 «Об утверждении методических рекомендаций по разработке инвестиционных программ организаций коммунального комплекса», Технического задания на разработку инвестиционной программы </w:t>
      </w:r>
      <w:r>
        <w:rPr>
          <w:rFonts w:ascii="Times New Roman" w:hAnsi="Times New Roman" w:eastAsia="Times New Roman" w:cs="Times New Roman"/>
          <w:bCs/>
          <w:sz w:val="24"/>
          <w:szCs w:val="24"/>
          <w:lang w:val="ru-RU"/>
        </w:rPr>
        <w:t xml:space="preserve">ООО «Биоочистка» по строительству, реконструкции и модернизации объектов централизованной системы водоотведения на территории Тайшетского городского поселения на период 2025-2028 годы, </w:t>
      </w:r>
      <w:r>
        <w:rPr>
          <w:rFonts w:ascii="Times New Roman" w:hAnsi="Times New Roman" w:eastAsia="Times New Roman" w:cs="Times New Roman"/>
          <w:sz w:val="24"/>
          <w:szCs w:val="24"/>
          <w:lang w:val="ru-RU"/>
        </w:rPr>
        <w:t xml:space="preserve">утвержденного постановлением администрации Тайшетского городского поселения.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986"/>
        <w:ind w:left="0" w:firstLine="720"/>
        <w:jc w:val="both"/>
        <w:spacing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lang w:val="ru-RU"/>
        </w:rPr>
        <w:t xml:space="preserve">6.2. Подготовка проекта инвестиционной программы и расчет финансовых потребностей, необходимых для реализации данной программы, производятся ООО «Биоочистка».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984"/>
        <w:ind w:firstLine="720"/>
        <w:jc w:val="both"/>
        <w:spacing w:line="240" w:lineRule="auto"/>
        <w:widowControl/>
        <w:tabs>
          <w:tab w:val="left" w:pos="0" w:leader="none"/>
          <w:tab w:val="clear" w:pos="708" w:leader="none"/>
        </w:tabs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6.3. Подготовленный проект инвестиционной программы и расчет необходимых для ее реализации финансовых потребностей предоставляются ООО «Биоочистка» в администрацию Тайше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тского городского поселения, которая осуществляет проверку соответствия проекта инвестиционной программы условиям утвержденного технического задания на ее формирование.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984"/>
        <w:ind w:firstLine="720"/>
        <w:jc w:val="both"/>
        <w:spacing w:line="240" w:lineRule="auto"/>
        <w:widowControl/>
        <w:tabs>
          <w:tab w:val="left" w:pos="0" w:leader="none"/>
          <w:tab w:val="clear" w:pos="708" w:leader="none"/>
        </w:tabs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6.4.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В случае  несоответствия проекта указанной программы техническому заданию на ее разработку администрация </w:t>
      </w:r>
      <w:r>
        <w:rPr>
          <w:rStyle w:val="953"/>
          <w:rFonts w:ascii="Times New Roman" w:hAnsi="Times New Roman" w:eastAsia="Times New Roman" w:cs="Times New Roman"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Тайшетского городского поселения вправе вернуть проект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инвестиционной программы ООО «Биоочистка» для устранения выявленных несоответствий с письменным изложением перечня замечаний и причин признания проекта инвестиционной программы необоснованным.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984"/>
        <w:ind w:firstLine="720"/>
        <w:jc w:val="both"/>
        <w:spacing w:line="240" w:lineRule="auto"/>
        <w:widowControl/>
        <w:rPr>
          <w:rFonts w:ascii="Times New Roman" w:hAnsi="Times New Roman" w:cs="Times New Roman"/>
          <w:sz w:val="24"/>
          <w:szCs w:val="24"/>
          <w:highlight w:val="green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6.5.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При вынесении решения соответствия инвестиционной программы техническому заданию ООО «Биоочистка»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направляет согласованный проект инвестиционной программы в у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</w:rPr>
        <w:t xml:space="preserve">полномоченный орган исполнительной власти субъекта Российской Федерации в области государственного регулирования тарифов – службу по тарифам  Иркутской области,далее на согласование в Министерство ЖКХ Иркутской области.</w:t>
      </w:r>
      <w:r>
        <w:rPr>
          <w:rFonts w:ascii="Times New Roman" w:hAnsi="Times New Roman" w:cs="Times New Roman"/>
          <w:sz w:val="24"/>
          <w:szCs w:val="24"/>
          <w:highlight w:val="green"/>
        </w:rPr>
      </w:r>
      <w:r>
        <w:rPr>
          <w:rFonts w:ascii="Times New Roman" w:hAnsi="Times New Roman" w:cs="Times New Roman"/>
          <w:sz w:val="24"/>
          <w:szCs w:val="24"/>
          <w:highlight w:val="green"/>
        </w:rPr>
      </w:r>
    </w:p>
    <w:p>
      <w:pPr>
        <w:pStyle w:val="984"/>
        <w:ind w:firstLine="0"/>
        <w:jc w:val="center"/>
        <w:spacing w:line="240" w:lineRule="auto"/>
        <w:widowControl/>
        <w:rPr>
          <w:rFonts w:ascii="Times New Roman" w:hAnsi="Times New Roman" w:cs="Times New Roman"/>
          <w:b w:val="0"/>
          <w:bCs w:val="0"/>
          <w:sz w:val="24"/>
          <w:szCs w:val="24"/>
        </w:rPr>
        <w:suppressLineNumbers w:val="0"/>
      </w:pPr>
      <w:r>
        <w:rPr>
          <w:rFonts w:ascii="Times New Roman" w:hAnsi="Times New Roman" w:cs="Times New Roman"/>
          <w:b w:val="0"/>
          <w:bCs w:val="0"/>
          <w:sz w:val="24"/>
          <w:szCs w:val="24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</w:rPr>
      </w:r>
    </w:p>
    <w:p>
      <w:pPr>
        <w:pStyle w:val="915"/>
        <w:ind w:firstLine="0"/>
        <w:jc w:val="center"/>
        <w:spacing w:line="240" w:lineRule="auto"/>
        <w:rPr>
          <w:rFonts w:ascii="Times New Roman" w:hAnsi="Times New Roman" w:cs="Times New Roman"/>
          <w:b w:val="0"/>
          <w:bCs w:val="0"/>
          <w:sz w:val="24"/>
          <w:szCs w:val="24"/>
        </w:rPr>
        <w:suppressLineNumbers w:val="0"/>
      </w:pPr>
      <w:r>
        <w:rPr>
          <w:rFonts w:eastAsia="Times New Roman" w:cs="Times New Roman"/>
          <w:b w:val="0"/>
          <w:bCs w:val="0"/>
          <w:sz w:val="24"/>
          <w:szCs w:val="24"/>
          <w:lang w:val="en-US"/>
        </w:rPr>
        <w:t xml:space="preserve">VI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I</w:t>
      </w:r>
      <w:r>
        <w:rPr>
          <w:rFonts w:eastAsia="Times New Roman" w:cs="Times New Roman"/>
          <w:b w:val="0"/>
          <w:bCs w:val="0"/>
          <w:sz w:val="24"/>
          <w:szCs w:val="24"/>
        </w:rPr>
        <w:t xml:space="preserve">. Финансовые потребности на реализацию инвестиционной программы</w:t>
      </w:r>
      <w:r>
        <w:rPr>
          <w:rFonts w:ascii="Times New Roman" w:hAnsi="Times New Roman" w:cs="Times New Roman"/>
          <w:b w:val="0"/>
          <w:bCs w:val="0"/>
          <w:sz w:val="24"/>
          <w:szCs w:val="24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</w:rPr>
      </w:r>
    </w:p>
    <w:p>
      <w:pPr>
        <w:pStyle w:val="915"/>
        <w:ind w:firstLine="0"/>
        <w:jc w:val="center"/>
        <w:spacing w:line="240" w:lineRule="auto"/>
        <w:rPr>
          <w:rFonts w:ascii="Times New Roman" w:hAnsi="Times New Roman" w:cs="Times New Roman"/>
          <w:b w:val="0"/>
          <w:bCs w:val="0"/>
          <w:sz w:val="24"/>
          <w:szCs w:val="24"/>
        </w:rPr>
        <w:suppressLineNumbers w:val="0"/>
      </w:pPr>
      <w:r>
        <w:rPr>
          <w:rFonts w:cs="Times New Roman"/>
          <w:b w:val="0"/>
          <w:bCs w:val="0"/>
          <w:sz w:val="24"/>
          <w:szCs w:val="24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</w:rPr>
      </w:r>
    </w:p>
    <w:p>
      <w:pPr>
        <w:pStyle w:val="915"/>
        <w:ind w:firstLine="720"/>
        <w:jc w:val="both"/>
        <w:spacing w:line="240" w:lineRule="auto"/>
        <w:rPr>
          <w:rFonts w:ascii="Times New Roman" w:hAnsi="Times New Roman" w:cs="Times New Roman"/>
          <w:sz w:val="24"/>
          <w:szCs w:val="24"/>
          <w:highlight w:val="white"/>
        </w:rPr>
        <w:suppressLineNumbers w:val="0"/>
      </w:pPr>
      <w:r>
        <w:rPr>
          <w:rFonts w:eastAsia="Times New Roman" w:cs="Times New Roman"/>
          <w:sz w:val="24"/>
          <w:szCs w:val="24"/>
          <w:highlight w:val="none"/>
        </w:rPr>
        <w:t xml:space="preserve">7</w:t>
      </w:r>
      <w:r>
        <w:rPr>
          <w:rFonts w:eastAsia="Times New Roman" w:cs="Times New Roman"/>
          <w:sz w:val="24"/>
          <w:szCs w:val="24"/>
          <w:highlight w:val="white"/>
        </w:rPr>
        <w:t xml:space="preserve">.1</w:t>
      </w:r>
      <w:r>
        <w:rPr>
          <w:rFonts w:eastAsia="Times New Roman" w:cs="Times New Roman"/>
          <w:sz w:val="24"/>
          <w:szCs w:val="24"/>
          <w:highlight w:val="white"/>
        </w:rPr>
        <w:t xml:space="preserve">. Объем финансовых потребностей на реализацию инвестиционной программы необходимо определять посредством суммирования финансовых потребностей на реализацию каждого мероприятия инвестиционной программы.</w:t>
      </w:r>
      <w:r>
        <w:rPr>
          <w:rFonts w:ascii="Times New Roman" w:hAnsi="Times New Roman" w:cs="Times New Roman"/>
          <w:sz w:val="24"/>
          <w:szCs w:val="24"/>
          <w:highlight w:val="white"/>
        </w:rPr>
      </w:r>
      <w:r>
        <w:rPr>
          <w:rFonts w:ascii="Times New Roman" w:hAnsi="Times New Roman" w:cs="Times New Roman"/>
          <w:sz w:val="24"/>
          <w:szCs w:val="24"/>
          <w:highlight w:val="white"/>
        </w:rPr>
      </w:r>
    </w:p>
    <w:p>
      <w:pPr>
        <w:pStyle w:val="915"/>
        <w:ind w:firstLine="720"/>
        <w:jc w:val="both"/>
        <w:spacing w:line="240" w:lineRule="auto"/>
        <w:rPr>
          <w:rFonts w:ascii="Times New Roman" w:hAnsi="Times New Roman" w:cs="Times New Roman"/>
          <w:sz w:val="24"/>
          <w:szCs w:val="24"/>
          <w:highlight w:val="none"/>
        </w:rPr>
        <w:suppressLineNumbers w:val="0"/>
      </w:pPr>
      <w:r>
        <w:rPr>
          <w:rFonts w:eastAsia="Times New Roman" w:cs="Times New Roman"/>
          <w:sz w:val="24"/>
          <w:szCs w:val="24"/>
          <w:highlight w:val="none"/>
        </w:rPr>
        <w:t xml:space="preserve">7</w:t>
      </w:r>
      <w:r>
        <w:rPr>
          <w:rFonts w:eastAsia="Times New Roman" w:cs="Times New Roman"/>
          <w:sz w:val="24"/>
          <w:szCs w:val="24"/>
          <w:highlight w:val="white"/>
        </w:rPr>
        <w:t xml:space="preserve">.2.</w:t>
      </w:r>
      <w:r>
        <w:rPr>
          <w:rFonts w:eastAsia="Times New Roman" w:cs="Times New Roman"/>
          <w:sz w:val="24"/>
          <w:szCs w:val="24"/>
        </w:rPr>
        <w:t xml:space="preserve"> В инвестиционной программе необходимо привести распределение финансовых потребностей по определенным источникам финансирования, в том числе с распределением по годам и этапам реализации инвестиционной программы.</w:t>
      </w:r>
      <w:r>
        <w:rPr>
          <w:rFonts w:ascii="Times New Roman" w:hAnsi="Times New Roman" w:cs="Times New Roman"/>
          <w:sz w:val="24"/>
          <w:szCs w:val="24"/>
          <w:highlight w:val="none"/>
        </w:rPr>
      </w:r>
      <w:r>
        <w:rPr>
          <w:rFonts w:ascii="Times New Roman" w:hAnsi="Times New Roman" w:cs="Times New Roman"/>
          <w:sz w:val="24"/>
          <w:szCs w:val="24"/>
          <w:highlight w:val="none"/>
        </w:rPr>
      </w:r>
    </w:p>
    <w:p>
      <w:pPr>
        <w:ind w:firstLine="0"/>
        <w:jc w:val="center"/>
        <w:spacing w:line="240" w:lineRule="auto"/>
        <w:rPr>
          <w:rFonts w:ascii="Times New Roman" w:hAnsi="Times New Roman" w:cs="Times New Roman"/>
          <w:b w:val="0"/>
          <w:bCs w:val="0"/>
          <w:sz w:val="24"/>
          <w:szCs w:val="24"/>
        </w:rPr>
        <w:suppressLineNumbers w:val="0"/>
      </w:pPr>
      <w:r>
        <w:rPr>
          <w:rFonts w:ascii="Times New Roman" w:hAnsi="Times New Roman" w:cs="Times New Roman"/>
          <w:b w:val="0"/>
          <w:bCs w:val="0"/>
          <w:sz w:val="24"/>
          <w:szCs w:val="24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</w:rPr>
      </w:r>
    </w:p>
    <w:p>
      <w:pPr>
        <w:ind w:left="0" w:right="0" w:firstLine="0"/>
        <w:jc w:val="center"/>
        <w:spacing w:after="0" w:line="240" w:lineRule="auto"/>
        <w:rPr>
          <w:b w:val="0"/>
          <w:bCs w:val="0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</w:rPr>
        <w:t xml:space="preserve">VII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</w:rPr>
        <w:t xml:space="preserve">I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</w:rPr>
        <w:t xml:space="preserve">. 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</w:rPr>
        <w:t xml:space="preserve">Перечень мероприятий по строительству, реконструкции и модернизации объектов централизованной системы водоотведения на территории муниципального образования Тайшетского городского поселения на 2025-2028 годы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</w:rPr>
        <w:t xml:space="preserve">, подлежащих</w:t>
      </w:r>
      <w:r>
        <w:rPr>
          <w:b w:val="0"/>
          <w:bCs w:val="0"/>
        </w:rPr>
      </w:r>
    </w:p>
    <w:p>
      <w:pPr>
        <w:ind w:left="0" w:right="0" w:firstLine="0"/>
        <w:jc w:val="center"/>
        <w:spacing w:after="0" w:line="240" w:lineRule="auto"/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highlight w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</w:rPr>
        <w:t xml:space="preserve">включению в инвестиционную программу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highlight w:val="none"/>
        </w:rPr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highlight w:val="none"/>
        </w:rPr>
      </w:r>
    </w:p>
    <w:p>
      <w:pPr>
        <w:ind w:left="850" w:right="850" w:firstLine="0"/>
        <w:jc w:val="center"/>
        <w:spacing w:after="0" w:line="240" w:lineRule="auto"/>
        <w:rPr>
          <w:b w:val="0"/>
          <w:bCs w:val="0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</w:rPr>
      </w:r>
      <w:r>
        <w:rPr>
          <w:b w:val="0"/>
          <w:bCs w:val="0"/>
        </w:rPr>
      </w:r>
    </w:p>
    <w:p>
      <w:pPr>
        <w:ind w:left="0" w:right="0" w:firstLine="720"/>
        <w:jc w:val="both"/>
        <w:spacing w:after="0" w:line="240" w:lineRule="auto"/>
        <w:rPr>
          <w:rFonts w:ascii="Times New Roman" w:hAnsi="Times New Roman" w:eastAsia="Times New Roman" w:cs="Times New Roman"/>
          <w:color w:val="000000"/>
          <w:sz w:val="24"/>
          <w:szCs w:val="24"/>
          <w:highlight w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8.1.</w:t>
      </w:r>
      <w:r>
        <w:rPr>
          <w:rFonts w:ascii="Times New Roman" w:hAnsi="Times New Roman" w:eastAsia="Times New Roman" w:cs="Times New Roman"/>
          <w:color w:val="000000"/>
          <w:sz w:val="24"/>
        </w:rPr>
        <w:t xml:space="preserve"> Перечень мероприятий по строительству,реконструкции объектов капитального строительства централизованных систем водоснабжения , подлежащих включению в инвестиционную программу  приведен ниже в</w:t>
      </w:r>
      <w:r>
        <w:rPr>
          <w:rFonts w:ascii="Times New Roman" w:hAnsi="Times New Roman" w:eastAsia="Times New Roman" w:cs="Times New Roman"/>
          <w:color w:val="000000"/>
          <w:sz w:val="24"/>
        </w:rPr>
        <w:t xml:space="preserve"> таблице 3</w:t>
      </w:r>
      <w:r>
        <w:rPr>
          <w:rFonts w:ascii="Times New Roman" w:hAnsi="Times New Roman" w:eastAsia="Times New Roman" w:cs="Times New Roman"/>
          <w:color w:val="000000"/>
          <w:sz w:val="24"/>
          <w:szCs w:val="24"/>
        </w:rPr>
        <w:t xml:space="preserve">.</w:t>
      </w:r>
      <w:r>
        <w:rPr>
          <w:rFonts w:ascii="Times New Roman" w:hAnsi="Times New Roman" w:eastAsia="Times New Roman" w:cs="Times New Roman"/>
          <w:color w:val="000000"/>
          <w:sz w:val="24"/>
          <w:szCs w:val="24"/>
        </w:rPr>
      </w:r>
      <w:r>
        <w:rPr>
          <w:rFonts w:ascii="Times New Roman" w:hAnsi="Times New Roman" w:eastAsia="Times New Roman" w:cs="Times New Roman"/>
          <w:color w:val="000000"/>
          <w:sz w:val="24"/>
          <w:szCs w:val="24"/>
          <w:highlight w:val="none"/>
        </w:rPr>
      </w:r>
    </w:p>
    <w:p>
      <w:pPr>
        <w:ind w:firstLine="709"/>
        <w:jc w:val="right"/>
        <w:spacing w:line="240" w:lineRule="auto"/>
        <w:rPr>
          <w:rFonts w:ascii="Times New Roman" w:hAnsi="Times New Roman" w:cs="Times New Roman"/>
          <w:sz w:val="24"/>
          <w:szCs w:val="24"/>
          <w:highlight w:val="none"/>
        </w:rPr>
      </w:pPr>
      <w:r>
        <w:rPr>
          <w:rFonts w:ascii="Times New Roman" w:hAnsi="Times New Roman" w:cs="Times New Roman"/>
          <w:sz w:val="24"/>
          <w:szCs w:val="24"/>
          <w:highlight w:val="none"/>
        </w:rPr>
      </w:r>
      <w:r>
        <w:rPr>
          <w:rFonts w:ascii="Times New Roman" w:hAnsi="Times New Roman" w:cs="Times New Roman"/>
          <w:sz w:val="24"/>
          <w:szCs w:val="24"/>
          <w:highlight w:val="none"/>
        </w:rPr>
        <w:t xml:space="preserve">Таблица 3</w:t>
      </w:r>
      <w:r>
        <w:rPr>
          <w:rFonts w:ascii="Times New Roman" w:hAnsi="Times New Roman" w:cs="Times New Roman"/>
          <w:sz w:val="24"/>
          <w:szCs w:val="24"/>
          <w:highlight w:val="none"/>
        </w:rPr>
      </w:r>
      <w:r>
        <w:rPr>
          <w:rFonts w:ascii="Times New Roman" w:hAnsi="Times New Roman" w:cs="Times New Roman"/>
          <w:sz w:val="24"/>
          <w:szCs w:val="24"/>
          <w:highlight w:val="none"/>
        </w:rPr>
      </w:r>
    </w:p>
    <w:p>
      <w:pPr>
        <w:ind w:firstLine="0"/>
        <w:jc w:val="center"/>
        <w:spacing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color w:val="000000"/>
          <w:sz w:val="24"/>
        </w:rPr>
      </w:r>
      <w:r>
        <w:rPr>
          <w:rFonts w:ascii="Times New Roman" w:hAnsi="Times New Roman" w:eastAsia="Times New Roman" w:cs="Times New Roman"/>
          <w:color w:val="000000"/>
          <w:sz w:val="24"/>
        </w:rPr>
        <w:t xml:space="preserve">Перечень мероприятий по строительству,реконструкции объектов капитального строительства централизованных систем водоотведения , подлежащих включению в инвестиционную программу</w:t>
      </w:r>
      <w:r>
        <w:rPr>
          <w:rFonts w:ascii="Times New Roman" w:hAnsi="Times New Roman" w:eastAsia="Times New Roman" w:cs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tbl>
      <w:tblPr>
        <w:tblStyle w:val="789"/>
        <w:tblW w:w="0" w:type="auto"/>
        <w:tblInd w:w="0" w:type="dxa"/>
        <w:tbl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insideH w:val="none" w:color="000000" w:sz="4" w:space="0"/>
          <w:insideV w:val="none" w:color="000000" w:sz="4" w:space="0"/>
        </w:tblBorders>
        <w:tblLayout w:type="fixed"/>
        <w:tblLook w:val="04A0" w:firstRow="1" w:lastRow="0" w:firstColumn="1" w:lastColumn="0" w:noHBand="0" w:noVBand="1"/>
      </w:tblPr>
      <w:tblGrid>
        <w:gridCol w:w="559"/>
        <w:gridCol w:w="3659"/>
        <w:gridCol w:w="709"/>
        <w:gridCol w:w="850"/>
        <w:gridCol w:w="850"/>
        <w:gridCol w:w="709"/>
        <w:gridCol w:w="709"/>
        <w:gridCol w:w="709"/>
        <w:gridCol w:w="709"/>
      </w:tblGrid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559" w:type="dxa"/>
            <w:vAlign w:val="center"/>
            <w:vMerge w:val="restart"/>
            <w:textDirection w:val="lrTb"/>
            <w:noWrap w:val="false"/>
          </w:tcPr>
          <w:p>
            <w:pPr>
              <w:ind w:left="0" w:right="0" w:firstLine="0"/>
              <w:jc w:val="center"/>
              <w:spacing w:line="240" w:lineRule="auto"/>
              <w:rPr>
                <w:b w:val="0"/>
                <w:bCs w:val="0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</w:rPr>
              <w:t xml:space="preserve">№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</w:rPr>
              <w:t xml:space="preserve">п/п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659" w:type="dxa"/>
            <w:vAlign w:val="center"/>
            <w:vMerge w:val="restart"/>
            <w:textDirection w:val="lrTb"/>
            <w:noWrap w:val="false"/>
          </w:tcPr>
          <w:p>
            <w:pPr>
              <w:ind w:left="0" w:right="0" w:firstLine="0"/>
              <w:jc w:val="center"/>
              <w:spacing w:line="240" w:lineRule="auto"/>
              <w:rPr>
                <w:b w:val="0"/>
                <w:bCs w:val="0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</w:rPr>
              <w:t xml:space="preserve">Объект реконструкции модернизации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09" w:type="dxa"/>
            <w:vAlign w:val="center"/>
            <w:vMerge w:val="restart"/>
            <w:textDirection w:val="lrTb"/>
            <w:noWrap w:val="false"/>
          </w:tcPr>
          <w:p>
            <w:pPr>
              <w:ind w:left="-113" w:right="-113" w:firstLine="0"/>
              <w:jc w:val="center"/>
              <w:spacing w:line="240" w:lineRule="auto"/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  <w:szCs w:val="24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</w:rPr>
              <w:t xml:space="preserve">Показатель,</w:t>
            </w:r>
            <w:r>
              <w:rPr>
                <w:b w:val="0"/>
                <w:bCs w:val="0"/>
              </w:rPr>
            </w:r>
          </w:p>
          <w:p>
            <w:pPr>
              <w:ind w:left="-113" w:right="-113" w:firstLine="0"/>
              <w:jc w:val="center"/>
              <w:spacing w:line="240" w:lineRule="auto"/>
              <w:rPr>
                <w:b w:val="0"/>
                <w:bCs w:val="0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</w:rPr>
              <w:t xml:space="preserve">ед. изм.</w:t>
            </w:r>
            <w:r>
              <w:rPr>
                <w:b w:val="0"/>
                <w:bCs w:val="0"/>
              </w:rPr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850" w:type="dxa"/>
            <w:vAlign w:val="center"/>
            <w:vMerge w:val="restart"/>
            <w:textDirection w:val="lrTb"/>
            <w:noWrap w:val="false"/>
          </w:tcPr>
          <w:p>
            <w:pPr>
              <w:ind w:left="-113" w:right="-113" w:firstLine="0"/>
              <w:jc w:val="center"/>
              <w:spacing w:line="240" w:lineRule="auto"/>
              <w:rPr>
                <w:rFonts w:ascii="Times New Roman" w:hAnsi="Times New Roman" w:eastAsia="Times New Roman" w:cs="Times New Roman"/>
                <w:b/>
                <w:color w:val="000000"/>
                <w:sz w:val="24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</w:rPr>
              <w:t xml:space="preserve">Кол.реконструируемой сети</w:t>
            </w:r>
            <w:r>
              <w:rPr>
                <w:rFonts w:ascii="Times New Roman" w:hAnsi="Times New Roman" w:eastAsia="Times New Roman" w:cs="Times New Roman"/>
                <w:b/>
                <w:color w:val="000000"/>
                <w:sz w:val="24"/>
              </w:rPr>
            </w:r>
            <w:r>
              <w:rPr>
                <w:rFonts w:ascii="Times New Roman" w:hAnsi="Times New Roman" w:eastAsia="Times New Roman" w:cs="Times New Roman"/>
                <w:b/>
                <w:color w:val="000000"/>
                <w:sz w:val="24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</w:rPr>
            </w:r>
            <w:r>
              <w:rPr>
                <w:rFonts w:ascii="Times New Roman" w:hAnsi="Times New Roman" w:eastAsia="Times New Roman" w:cs="Times New Roman"/>
                <w:b/>
                <w:color w:val="000000"/>
                <w:sz w:val="24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850" w:type="dxa"/>
            <w:vAlign w:val="center"/>
            <w:vMerge w:val="restart"/>
            <w:textDirection w:val="lrTb"/>
            <w:noWrap w:val="false"/>
          </w:tcPr>
          <w:p>
            <w:pPr>
              <w:ind w:left="-113" w:right="-113" w:firstLine="0"/>
              <w:jc w:val="center"/>
              <w:spacing w:line="240" w:lineRule="auto"/>
              <w:rPr>
                <w:b w:val="0"/>
                <w:bCs w:val="0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</w:rPr>
              <w:t xml:space="preserve">Год ввода в эксплуатацию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</w:rPr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gridSpan w:val="4"/>
            <w:tcBorders>
              <w:top w:val="single" w:color="000000" w:sz="6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108" w:type="dxa"/>
              <w:bottom w:w="0" w:type="dxa"/>
            </w:tcMar>
            <w:tcW w:w="2835" w:type="dxa"/>
            <w:vAlign w:val="bottom"/>
            <w:textDirection w:val="lrTb"/>
            <w:noWrap w:val="false"/>
          </w:tcPr>
          <w:p>
            <w:pPr>
              <w:ind w:left="-113" w:right="-113" w:firstLine="0"/>
              <w:jc w:val="center"/>
              <w:spacing w:line="240" w:lineRule="auto"/>
              <w:rPr>
                <w:b w:val="0"/>
                <w:bCs w:val="0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</w:rPr>
              <w:t xml:space="preserve">Объект реконструкции, модернизации по годам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</w:tr>
      <w:tr>
        <w:tblPrEx/>
        <w:trPr>
          <w:trHeight w:val="530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Merge w:val="continue"/>
            <w:textDirection w:val="lrTb"/>
            <w:noWrap w:val="false"/>
          </w:tcPr>
          <w:p>
            <w:r/>
            <w:r/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Merge w:val="continue"/>
            <w:textDirection w:val="lrTb"/>
            <w:noWrap w:val="false"/>
          </w:tcPr>
          <w:p>
            <w:r/>
            <w:r/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W w:w="709" w:type="dxa"/>
            <w:vMerge w:val="continue"/>
            <w:textDirection w:val="lrTb"/>
            <w:noWrap w:val="false"/>
          </w:tcPr>
          <w:p>
            <w:r/>
            <w:r/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W w:w="850" w:type="dxa"/>
            <w:vMerge w:val="continue"/>
            <w:textDirection w:val="lrTb"/>
            <w:noWrap w:val="false"/>
          </w:tcPr>
          <w:p>
            <w:r/>
            <w:r/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Merge w:val="continue"/>
            <w:textDirection w:val="lrTb"/>
            <w:noWrap w:val="false"/>
          </w:tcPr>
          <w:p>
            <w:r/>
            <w:r/>
            <w:r/>
          </w:p>
        </w:tc>
        <w:tc>
          <w:tcPr>
            <w:tcBorders>
              <w:top w:val="none" w:color="000000" w:sz="4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09" w:type="dxa"/>
            <w:vAlign w:val="center"/>
            <w:textDirection w:val="lrTb"/>
            <w:noWrap w:val="false"/>
          </w:tcPr>
          <w:p>
            <w:pPr>
              <w:ind w:left="-113" w:right="-113" w:firstLine="0"/>
              <w:jc w:val="center"/>
              <w:spacing w:line="240" w:lineRule="auto"/>
              <w:rPr>
                <w:b w:val="0"/>
                <w:bCs w:val="0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</w:rPr>
              <w:t xml:space="preserve">2025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Borders>
              <w:top w:val="none" w:color="000000" w:sz="4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09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spacing w:line="240" w:lineRule="auto"/>
              <w:rPr>
                <w:b w:val="0"/>
                <w:bCs w:val="0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</w:rPr>
              <w:t xml:space="preserve">2026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108" w:type="dxa"/>
              <w:bottom w:w="0" w:type="dxa"/>
            </w:tcMar>
            <w:tcW w:w="709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spacing w:line="240" w:lineRule="auto"/>
              <w:rPr>
                <w:b w:val="0"/>
                <w:bCs w:val="0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</w:rPr>
              <w:t xml:space="preserve">2027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108" w:type="dxa"/>
              <w:bottom w:w="0" w:type="dxa"/>
            </w:tcMar>
            <w:tcW w:w="709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spacing w:line="240" w:lineRule="auto"/>
              <w:rPr>
                <w:b w:val="0"/>
                <w:bCs w:val="0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</w:rPr>
              <w:t xml:space="preserve">2028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</w:tr>
      <w:tr>
        <w:tblPrEx/>
        <w:trPr/>
        <w:tc>
          <w:tcPr>
            <w:tcBorders>
              <w:top w:val="none" w:color="000000" w:sz="4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559" w:type="dxa"/>
            <w:vAlign w:val="center"/>
            <w:vMerge w:val="restart"/>
            <w:textDirection w:val="lrTb"/>
            <w:noWrap w:val="false"/>
          </w:tcPr>
          <w:p>
            <w:pPr>
              <w:ind w:left="0" w:right="0" w:firstLine="0"/>
              <w:jc w:val="center"/>
              <w:spacing w:line="240" w:lineRule="auto"/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</w:rPr>
              <w:t xml:space="preserve">1.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</w:rPr>
            </w:r>
          </w:p>
        </w:tc>
        <w:tc>
          <w:tcPr>
            <w:gridSpan w:val="8"/>
            <w:tcBorders>
              <w:top w:val="single" w:color="000000" w:sz="4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108" w:type="dxa"/>
              <w:bottom w:w="0" w:type="dxa"/>
            </w:tcMar>
            <w:tcW w:w="8903" w:type="dxa"/>
            <w:vAlign w:val="center"/>
            <w:vMerge w:val="restart"/>
            <w:textDirection w:val="lrTb"/>
            <w:noWrap w:val="false"/>
          </w:tcPr>
          <w:p>
            <w:pPr>
              <w:ind w:left="0" w:right="0" w:firstLine="0"/>
              <w:jc w:val="center"/>
              <w:spacing w:after="0"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Перечень объектов по строительству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 централизованных систем водоотведения</w:t>
            </w:r>
            <w:r/>
            <w:r/>
          </w:p>
        </w:tc>
      </w:tr>
      <w:tr>
        <w:tblPrEx/>
        <w:trPr/>
        <w:tc>
          <w:tcPr>
            <w:tcBorders>
              <w:top w:val="none" w:color="000000" w:sz="4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559" w:type="dxa"/>
            <w:vAlign w:val="center"/>
            <w:vMerge w:val="restart"/>
            <w:textDirection w:val="lrTb"/>
            <w:noWrap w:val="false"/>
          </w:tcPr>
          <w:p>
            <w:pPr>
              <w:ind w:left="0" w:right="0" w:firstLine="0"/>
              <w:jc w:val="center"/>
              <w:spacing w:line="240" w:lineRule="auto"/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</w:rPr>
              <w:t xml:space="preserve">1.1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108" w:type="dxa"/>
              <w:bottom w:w="0" w:type="dxa"/>
            </w:tcMar>
            <w:tcW w:w="3659" w:type="dxa"/>
            <w:vAlign w:val="center"/>
            <w:vMerge w:val="restart"/>
            <w:textDirection w:val="lrTb"/>
            <w:noWrap w:val="false"/>
          </w:tcPr>
          <w:p>
            <w:pPr>
              <w:ind w:left="-57" w:right="-57" w:firstLine="0"/>
              <w:jc w:val="center"/>
              <w:spacing w:line="240" w:lineRule="auto"/>
              <w:rPr>
                <w:b w:val="0"/>
                <w:bCs w:val="0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</w:rPr>
              <w:t xml:space="preserve">Строительство сетей для многоквартирного жилого дома, город Тайшет, ул.Зои Космодемьянской, дом 4</w:t>
            </w:r>
            <w:r>
              <w:rPr>
                <w:b w:val="0"/>
                <w:bCs w:val="0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pacing w:val="2"/>
                <w:sz w:val="24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pacing w:val="2"/>
                <w:sz w:val="24"/>
                <w:highlight w:val="white"/>
              </w:rPr>
              <w:t xml:space="preserve"> ∅-150 мм</w:t>
            </w:r>
            <w:r>
              <w:rPr>
                <w:rFonts w:ascii="Times New Roman" w:hAnsi="Times New Roman" w:eastAsia="Times New Roman" w:cs="Times New Roman"/>
                <w:color w:val="000000"/>
                <w:spacing w:val="2"/>
                <w:sz w:val="24"/>
                <w:highlight w:val="none"/>
              </w:rPr>
              <w:t xml:space="preserve">.</w:t>
            </w:r>
            <w:r>
              <w:rPr>
                <w:rFonts w:ascii="Times New Roman" w:hAnsi="Times New Roman" w:eastAsia="Times New Roman" w:cs="Times New Roman"/>
                <w:color w:val="000000"/>
                <w:spacing w:val="2"/>
                <w:sz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pacing w:val="2"/>
                <w:sz w:val="24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pacing w:val="2"/>
                <w:sz w:val="24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108" w:type="dxa"/>
              <w:bottom w:w="0" w:type="dxa"/>
            </w:tcMar>
            <w:tcW w:w="709" w:type="dxa"/>
            <w:vAlign w:val="center"/>
            <w:vMerge w:val="restart"/>
            <w:textDirection w:val="lrTb"/>
            <w:noWrap w:val="false"/>
          </w:tcPr>
          <w:p>
            <w:pPr>
              <w:ind w:left="0" w:right="0" w:firstLine="0"/>
              <w:jc w:val="center"/>
              <w:spacing w:line="240" w:lineRule="auto"/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</w:rPr>
              <w:t xml:space="preserve">м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108" w:type="dxa"/>
              <w:bottom w:w="0" w:type="dxa"/>
            </w:tcMar>
            <w:tcW w:w="850" w:type="dxa"/>
            <w:vAlign w:val="center"/>
            <w:vMerge w:val="restart"/>
            <w:textDirection w:val="lrTb"/>
            <w:noWrap w:val="false"/>
          </w:tcPr>
          <w:p>
            <w:pPr>
              <w:ind w:left="0" w:right="0" w:firstLine="0"/>
              <w:jc w:val="center"/>
              <w:spacing w:line="240" w:lineRule="auto"/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</w:rPr>
              <w:t xml:space="preserve">127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850" w:type="dxa"/>
            <w:vAlign w:val="center"/>
            <w:vMerge w:val="restart"/>
            <w:textDirection w:val="lrTb"/>
            <w:noWrap w:val="false"/>
          </w:tcPr>
          <w:p>
            <w:pPr>
              <w:ind w:left="0" w:right="0" w:firstLine="0"/>
              <w:jc w:val="center"/>
              <w:spacing w:line="240" w:lineRule="auto"/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</w:rPr>
              <w:t xml:space="preserve">2027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</w:rPr>
            </w:r>
          </w:p>
        </w:tc>
        <w:tc>
          <w:tcPr>
            <w:tcBorders>
              <w:top w:val="single" w:color="000000" w:sz="6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108" w:type="dxa"/>
              <w:bottom w:w="0" w:type="dxa"/>
            </w:tcMar>
            <w:tcW w:w="709" w:type="dxa"/>
            <w:vAlign w:val="center"/>
            <w:vMerge w:val="restart"/>
            <w:textDirection w:val="lrTb"/>
            <w:noWrap w:val="false"/>
          </w:tcPr>
          <w:p>
            <w:pPr>
              <w:ind w:left="0" w:right="0" w:firstLine="0"/>
              <w:jc w:val="center"/>
              <w:spacing w:line="240" w:lineRule="auto"/>
              <w:rPr>
                <w:b w:val="0"/>
                <w:bCs w:val="0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Borders>
              <w:top w:val="single" w:color="000000" w:sz="6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108" w:type="dxa"/>
              <w:bottom w:w="0" w:type="dxa"/>
            </w:tcMar>
            <w:tcW w:w="709" w:type="dxa"/>
            <w:vAlign w:val="center"/>
            <w:vMerge w:val="restart"/>
            <w:textDirection w:val="lrTb"/>
            <w:noWrap w:val="false"/>
          </w:tcPr>
          <w:p>
            <w:pPr>
              <w:ind w:left="0" w:right="0" w:firstLine="0"/>
              <w:jc w:val="center"/>
              <w:spacing w:line="240" w:lineRule="auto"/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</w:rPr>
            </w:r>
          </w:p>
        </w:tc>
        <w:tc>
          <w:tcPr>
            <w:tcBorders>
              <w:top w:val="single" w:color="000000" w:sz="6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108" w:type="dxa"/>
              <w:bottom w:w="0" w:type="dxa"/>
            </w:tcMar>
            <w:tcW w:w="709" w:type="dxa"/>
            <w:vAlign w:val="center"/>
            <w:vMerge w:val="restart"/>
            <w:textDirection w:val="lrTb"/>
            <w:noWrap w:val="false"/>
          </w:tcPr>
          <w:p>
            <w:pPr>
              <w:ind w:left="0" w:right="0" w:firstLine="0"/>
              <w:jc w:val="center"/>
              <w:spacing w:line="240" w:lineRule="auto"/>
              <w:rPr>
                <w:b w:val="0"/>
                <w:bCs w:val="0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b w:val="0"/>
                <w:bCs w:val="0"/>
              </w:rPr>
              <w:t xml:space="preserve">2027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Borders>
              <w:top w:val="single" w:color="000000" w:sz="6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108" w:type="dxa"/>
              <w:bottom w:w="0" w:type="dxa"/>
            </w:tcMar>
            <w:tcW w:w="709" w:type="dxa"/>
            <w:vAlign w:val="center"/>
            <w:vMerge w:val="restart"/>
            <w:textDirection w:val="lrTb"/>
            <w:noWrap w:val="false"/>
          </w:tcPr>
          <w:p>
            <w:pPr>
              <w:ind w:left="0" w:right="0" w:firstLine="0"/>
              <w:jc w:val="center"/>
              <w:spacing w:line="240" w:lineRule="auto"/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</w:rPr>
            </w:r>
          </w:p>
        </w:tc>
      </w:tr>
      <w:tr>
        <w:tblPrEx/>
        <w:trPr/>
        <w:tc>
          <w:tcPr>
            <w:tcBorders>
              <w:top w:val="none" w:color="000000" w:sz="4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559" w:type="dxa"/>
            <w:vAlign w:val="center"/>
            <w:vMerge w:val="restart"/>
            <w:textDirection w:val="lrTb"/>
            <w:noWrap w:val="false"/>
          </w:tcPr>
          <w:p>
            <w:pPr>
              <w:ind w:left="0" w:right="0" w:firstLine="0"/>
              <w:jc w:val="center"/>
              <w:spacing w:line="240" w:lineRule="auto"/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</w:rPr>
              <w:t xml:space="preserve">2.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</w:rPr>
            </w:r>
          </w:p>
        </w:tc>
        <w:tc>
          <w:tcPr>
            <w:gridSpan w:val="8"/>
            <w:tcBorders>
              <w:top w:val="single" w:color="000000" w:sz="4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108" w:type="dxa"/>
              <w:bottom w:w="0" w:type="dxa"/>
            </w:tcMar>
            <w:tcW w:w="8903" w:type="dxa"/>
            <w:vAlign w:val="center"/>
            <w:vMerge w:val="restart"/>
            <w:textDirection w:val="lrTb"/>
            <w:noWrap w:val="false"/>
          </w:tcPr>
          <w:p>
            <w:pPr>
              <w:ind w:left="0" w:right="0" w:firstLine="0"/>
              <w:jc w:val="center"/>
              <w:spacing w:line="240" w:lineRule="auto"/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Перечень объектов по реконструкции  централизованных систем водоотведения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</w:rPr>
            </w:r>
          </w:p>
        </w:tc>
      </w:tr>
      <w:tr>
        <w:tblPrEx/>
        <w:trPr/>
        <w:tc>
          <w:tcPr>
            <w:tcBorders>
              <w:top w:val="none" w:color="000000" w:sz="4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559" w:type="dxa"/>
            <w:vAlign w:val="center"/>
            <w:vMerge w:val="restart"/>
            <w:textDirection w:val="lrTb"/>
            <w:noWrap w:val="false"/>
          </w:tcPr>
          <w:p>
            <w:pPr>
              <w:ind w:left="0" w:right="0" w:firstLine="0"/>
              <w:jc w:val="center"/>
              <w:spacing w:line="240" w:lineRule="auto"/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</w:rPr>
              <w:t xml:space="preserve">2.1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108" w:type="dxa"/>
              <w:bottom w:w="0" w:type="dxa"/>
            </w:tcMar>
            <w:tcW w:w="3659" w:type="dxa"/>
            <w:vAlign w:val="center"/>
            <w:vMerge w:val="restart"/>
            <w:textDirection w:val="lrTb"/>
            <w:noWrap w:val="false"/>
          </w:tcPr>
          <w:p>
            <w:pPr>
              <w:ind w:left="0" w:right="0" w:firstLine="0"/>
              <w:jc w:val="center"/>
              <w:spacing w:line="240" w:lineRule="auto"/>
              <w:rPr>
                <w:b w:val="0"/>
                <w:bCs w:val="0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</w:rPr>
              <w:t xml:space="preserve">Реконструкция сетей для многоквартирного жилого дома, город Тайшет, ул.Зои Космодемьянской, дом </w:t>
            </w:r>
            <w:r>
              <w:rPr>
                <w:rFonts w:ascii="Times New Roman" w:hAnsi="Times New Roman" w:eastAsia="Times New Roman" w:cs="Times New Roman"/>
                <w:color w:val="000000"/>
                <w:spacing w:val="2"/>
                <w:sz w:val="24"/>
                <w:highlight w:val="white"/>
              </w:rPr>
              <w:t xml:space="preserve"> ∅-250 мм</w:t>
            </w:r>
            <w:r>
              <w:rPr>
                <w:rFonts w:ascii="Times New Roman" w:hAnsi="Times New Roman" w:eastAsia="Times New Roman" w:cs="Times New Roman"/>
                <w:color w:val="000000"/>
                <w:spacing w:val="2"/>
                <w:sz w:val="24"/>
                <w:highlight w:val="none"/>
              </w:rPr>
              <w:t xml:space="preserve">. 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108" w:type="dxa"/>
              <w:bottom w:w="0" w:type="dxa"/>
            </w:tcMar>
            <w:tcW w:w="709" w:type="dxa"/>
            <w:vAlign w:val="center"/>
            <w:vMerge w:val="restart"/>
            <w:textDirection w:val="lrTb"/>
            <w:noWrap w:val="false"/>
          </w:tcPr>
          <w:p>
            <w:pPr>
              <w:ind w:left="0" w:right="0" w:firstLine="0"/>
              <w:jc w:val="center"/>
              <w:spacing w:line="240" w:lineRule="auto"/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</w:rPr>
              <w:t xml:space="preserve">м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108" w:type="dxa"/>
              <w:bottom w:w="0" w:type="dxa"/>
            </w:tcMar>
            <w:tcW w:w="850" w:type="dxa"/>
            <w:vAlign w:val="center"/>
            <w:vMerge w:val="restart"/>
            <w:textDirection w:val="lrTb"/>
            <w:noWrap w:val="false"/>
          </w:tcPr>
          <w:p>
            <w:pPr>
              <w:ind w:left="0" w:right="0" w:firstLine="0"/>
              <w:jc w:val="center"/>
              <w:spacing w:line="240" w:lineRule="auto"/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</w:rPr>
              <w:t xml:space="preserve">278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850" w:type="dxa"/>
            <w:vAlign w:val="center"/>
            <w:vMerge w:val="restart"/>
            <w:textDirection w:val="lrTb"/>
            <w:noWrap w:val="false"/>
          </w:tcPr>
          <w:p>
            <w:pPr>
              <w:ind w:left="0" w:right="0" w:firstLine="0"/>
              <w:jc w:val="center"/>
              <w:spacing w:line="240" w:lineRule="auto"/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</w:rPr>
              <w:t xml:space="preserve">2027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</w:rPr>
            </w:r>
          </w:p>
        </w:tc>
        <w:tc>
          <w:tcPr>
            <w:tcBorders>
              <w:top w:val="single" w:color="000000" w:sz="6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108" w:type="dxa"/>
              <w:bottom w:w="0" w:type="dxa"/>
            </w:tcMar>
            <w:tcW w:w="709" w:type="dxa"/>
            <w:vAlign w:val="center"/>
            <w:vMerge w:val="restart"/>
            <w:textDirection w:val="lrTb"/>
            <w:noWrap w:val="false"/>
          </w:tcPr>
          <w:p>
            <w:pPr>
              <w:ind w:left="0" w:right="0" w:firstLine="0"/>
              <w:jc w:val="center"/>
              <w:spacing w:line="240" w:lineRule="auto"/>
              <w:rPr>
                <w:b w:val="0"/>
                <w:bCs w:val="0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Borders>
              <w:top w:val="single" w:color="000000" w:sz="6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108" w:type="dxa"/>
              <w:bottom w:w="0" w:type="dxa"/>
            </w:tcMar>
            <w:tcW w:w="709" w:type="dxa"/>
            <w:vAlign w:val="center"/>
            <w:vMerge w:val="restart"/>
            <w:textDirection w:val="lrTb"/>
            <w:noWrap w:val="false"/>
          </w:tcPr>
          <w:p>
            <w:pPr>
              <w:ind w:left="0" w:right="0" w:firstLine="0"/>
              <w:jc w:val="center"/>
              <w:spacing w:line="240" w:lineRule="auto"/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</w:rPr>
            </w:r>
          </w:p>
        </w:tc>
        <w:tc>
          <w:tcPr>
            <w:tcBorders>
              <w:top w:val="single" w:color="000000" w:sz="6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108" w:type="dxa"/>
              <w:bottom w:w="0" w:type="dxa"/>
            </w:tcMar>
            <w:tcW w:w="709" w:type="dxa"/>
            <w:vAlign w:val="center"/>
            <w:vMerge w:val="restart"/>
            <w:textDirection w:val="lrTb"/>
            <w:noWrap w:val="false"/>
          </w:tcPr>
          <w:p>
            <w:pPr>
              <w:ind w:left="0" w:right="0" w:firstLine="0"/>
              <w:jc w:val="center"/>
              <w:spacing w:line="240" w:lineRule="auto"/>
              <w:rPr>
                <w:b w:val="0"/>
                <w:bCs w:val="0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b w:val="0"/>
                <w:bCs w:val="0"/>
              </w:rPr>
              <w:t xml:space="preserve">2027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Borders>
              <w:top w:val="single" w:color="000000" w:sz="6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108" w:type="dxa"/>
              <w:bottom w:w="0" w:type="dxa"/>
            </w:tcMar>
            <w:tcW w:w="709" w:type="dxa"/>
            <w:vAlign w:val="center"/>
            <w:vMerge w:val="restart"/>
            <w:textDirection w:val="lrTb"/>
            <w:noWrap w:val="false"/>
          </w:tcPr>
          <w:p>
            <w:pPr>
              <w:ind w:left="0" w:right="0" w:firstLine="0"/>
              <w:jc w:val="center"/>
              <w:spacing w:line="240" w:lineRule="auto"/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</w:rPr>
            </w:r>
          </w:p>
        </w:tc>
      </w:tr>
      <w:tr>
        <w:tblPrEx/>
        <w:trPr/>
        <w:tc>
          <w:tcPr>
            <w:tcBorders>
              <w:top w:val="none" w:color="000000" w:sz="4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559" w:type="dxa"/>
            <w:vAlign w:val="center"/>
            <w:vMerge w:val="restart"/>
            <w:textDirection w:val="lrTb"/>
            <w:noWrap w:val="false"/>
          </w:tcPr>
          <w:p>
            <w:pPr>
              <w:ind w:left="0" w:right="0" w:firstLine="0"/>
              <w:jc w:val="center"/>
              <w:spacing w:line="240" w:lineRule="auto"/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</w:rPr>
              <w:t xml:space="preserve">3.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</w:rPr>
            </w:r>
          </w:p>
        </w:tc>
        <w:tc>
          <w:tcPr>
            <w:gridSpan w:val="8"/>
            <w:tcBorders>
              <w:top w:val="none" w:color="000000" w:sz="4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108" w:type="dxa"/>
              <w:bottom w:w="0" w:type="dxa"/>
            </w:tcMar>
            <w:tcW w:w="8903" w:type="dxa"/>
            <w:vAlign w:val="center"/>
            <w:vMerge w:val="restart"/>
            <w:textDirection w:val="lrTb"/>
            <w:noWrap w:val="false"/>
          </w:tcPr>
          <w:p>
            <w:pPr>
              <w:ind w:left="0" w:right="0" w:firstLine="0"/>
              <w:jc w:val="center"/>
              <w:spacing w:line="240" w:lineRule="auto"/>
              <w:rPr>
                <w:b w:val="0"/>
                <w:bCs w:val="0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b w:val="0"/>
                <w:bCs w:val="0"/>
              </w:rPr>
            </w:r>
            <w:r>
              <w:t xml:space="preserve">Перечень мероприятий, обусловленных необходимостью соблюдения регулируемыми организациями обязательных требований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</w:tr>
      <w:tr>
        <w:tblPrEx/>
        <w:trPr/>
        <w:tc>
          <w:tcPr>
            <w:tcBorders>
              <w:top w:val="none" w:color="000000" w:sz="4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559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spacing w:line="240" w:lineRule="auto"/>
              <w:rPr>
                <w:b w:val="0"/>
                <w:bCs w:val="0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</w:rPr>
              <w:t xml:space="preserve">3.1.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108" w:type="dxa"/>
              <w:bottom w:w="0" w:type="dxa"/>
            </w:tcMar>
            <w:tcW w:w="3659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spacing w:after="0" w:line="240" w:lineRule="auto"/>
              <w:rPr>
                <w:b w:val="0"/>
                <w:bCs w:val="0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pacing w:val="2"/>
                <w:sz w:val="24"/>
              </w:rPr>
              <w:t xml:space="preserve">Разработка мероприятий по доочистке сточных вод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108" w:type="dxa"/>
              <w:bottom w:w="0" w:type="dxa"/>
            </w:tcMar>
            <w:tcW w:w="709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spacing w:line="240" w:lineRule="auto"/>
              <w:rPr>
                <w:b w:val="0"/>
                <w:bCs w:val="0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</w:rPr>
              <w:t xml:space="preserve">шт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108" w:type="dxa"/>
              <w:bottom w:w="0" w:type="dxa"/>
            </w:tcMar>
            <w:tcW w:w="850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spacing w:line="240" w:lineRule="auto"/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</w:rPr>
            </w:r>
          </w:p>
        </w:tc>
        <w:tc>
          <w:tcPr>
            <w:tcBorders>
              <w:top w:val="none" w:color="000000" w:sz="4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850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spacing w:line="240" w:lineRule="auto"/>
              <w:rPr>
                <w:b w:val="0"/>
                <w:bCs w:val="0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</w:rPr>
              <w:t xml:space="preserve">2028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Borders>
              <w:top w:val="single" w:color="000000" w:sz="6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108" w:type="dxa"/>
              <w:bottom w:w="0" w:type="dxa"/>
            </w:tcMar>
            <w:tcW w:w="709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spacing w:line="240" w:lineRule="auto"/>
              <w:rPr>
                <w:b w:val="0"/>
                <w:bCs w:val="0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Borders>
              <w:top w:val="single" w:color="000000" w:sz="6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108" w:type="dxa"/>
              <w:bottom w:w="0" w:type="dxa"/>
            </w:tcMar>
            <w:tcW w:w="709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spacing w:line="240" w:lineRule="auto"/>
              <w:rPr>
                <w:b w:val="0"/>
                <w:bCs w:val="0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</w:rPr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Borders>
              <w:top w:val="single" w:color="000000" w:sz="6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108" w:type="dxa"/>
              <w:bottom w:w="0" w:type="dxa"/>
            </w:tcMar>
            <w:tcW w:w="709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spacing w:line="240" w:lineRule="auto"/>
              <w:rPr>
                <w:b w:val="0"/>
                <w:bCs w:val="0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Borders>
              <w:top w:val="single" w:color="000000" w:sz="6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108" w:type="dxa"/>
              <w:bottom w:w="0" w:type="dxa"/>
            </w:tcMar>
            <w:tcW w:w="709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spacing w:line="240" w:lineRule="auto"/>
              <w:rPr>
                <w:b w:val="0"/>
                <w:bCs w:val="0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b w:val="0"/>
                <w:bCs w:val="0"/>
              </w:rPr>
              <w:t xml:space="preserve">2028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</w:tr>
      <w:tr>
        <w:tblPrEx/>
        <w:trPr/>
        <w:tc>
          <w:tcPr>
            <w:tcBorders>
              <w:top w:val="none" w:color="000000" w:sz="4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559" w:type="dxa"/>
            <w:vAlign w:val="center"/>
            <w:vMerge w:val="restart"/>
            <w:textDirection w:val="lrTb"/>
            <w:noWrap w:val="false"/>
          </w:tcPr>
          <w:p>
            <w:pPr>
              <w:ind w:left="0" w:right="0" w:firstLine="0"/>
              <w:jc w:val="center"/>
              <w:spacing w:line="240" w:lineRule="auto"/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</w:rPr>
              <w:t xml:space="preserve">3.2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108" w:type="dxa"/>
              <w:bottom w:w="0" w:type="dxa"/>
            </w:tcMar>
            <w:tcW w:w="3659" w:type="dxa"/>
            <w:vAlign w:val="center"/>
            <w:vMerge w:val="restart"/>
            <w:textDirection w:val="lrTb"/>
            <w:noWrap w:val="false"/>
          </w:tcPr>
          <w:p>
            <w:pPr>
              <w:ind w:left="0" w:right="0" w:firstLine="0"/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pacing w:val="2"/>
                <w:sz w:val="24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pacing w:val="2"/>
                <w:sz w:val="24"/>
              </w:rPr>
              <w:t xml:space="preserve">Разработка проекта санитарно-защитной зоны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pacing w:val="2"/>
                <w:sz w:val="24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pacing w:val="2"/>
                <w:sz w:val="24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108" w:type="dxa"/>
              <w:bottom w:w="0" w:type="dxa"/>
            </w:tcMar>
            <w:tcW w:w="709" w:type="dxa"/>
            <w:vAlign w:val="center"/>
            <w:vMerge w:val="restart"/>
            <w:textDirection w:val="lrTb"/>
            <w:noWrap w:val="false"/>
          </w:tcPr>
          <w:p>
            <w:pPr>
              <w:ind w:left="0" w:right="0" w:firstLine="0"/>
              <w:jc w:val="center"/>
              <w:spacing w:line="240" w:lineRule="auto"/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</w:rPr>
              <w:t xml:space="preserve">шт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108" w:type="dxa"/>
              <w:bottom w:w="0" w:type="dxa"/>
            </w:tcMar>
            <w:tcW w:w="850" w:type="dxa"/>
            <w:vAlign w:val="center"/>
            <w:vMerge w:val="restart"/>
            <w:textDirection w:val="lrTb"/>
            <w:noWrap w:val="false"/>
          </w:tcPr>
          <w:p>
            <w:pPr>
              <w:ind w:left="0" w:right="0" w:firstLine="0"/>
              <w:jc w:val="center"/>
              <w:spacing w:line="240" w:lineRule="auto"/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</w:rPr>
            </w:r>
          </w:p>
        </w:tc>
        <w:tc>
          <w:tcPr>
            <w:tcBorders>
              <w:top w:val="none" w:color="000000" w:sz="4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850" w:type="dxa"/>
            <w:vAlign w:val="center"/>
            <w:vMerge w:val="restart"/>
            <w:textDirection w:val="lrTb"/>
            <w:noWrap w:val="false"/>
          </w:tcPr>
          <w:p>
            <w:pPr>
              <w:ind w:left="0" w:right="0" w:firstLine="0"/>
              <w:jc w:val="center"/>
              <w:spacing w:line="240" w:lineRule="auto"/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</w:rPr>
              <w:t xml:space="preserve">2027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</w:rPr>
            </w:r>
          </w:p>
        </w:tc>
        <w:tc>
          <w:tcPr>
            <w:tcBorders>
              <w:top w:val="single" w:color="000000" w:sz="6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108" w:type="dxa"/>
              <w:bottom w:w="0" w:type="dxa"/>
            </w:tcMar>
            <w:tcW w:w="709" w:type="dxa"/>
            <w:vAlign w:val="center"/>
            <w:vMerge w:val="restart"/>
            <w:textDirection w:val="lrTb"/>
            <w:noWrap w:val="false"/>
          </w:tcPr>
          <w:p>
            <w:pPr>
              <w:ind w:left="0" w:right="0" w:firstLine="0"/>
              <w:jc w:val="center"/>
              <w:spacing w:line="240" w:lineRule="auto"/>
              <w:rPr>
                <w:b w:val="0"/>
                <w:bCs w:val="0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Borders>
              <w:top w:val="single" w:color="000000" w:sz="6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108" w:type="dxa"/>
              <w:bottom w:w="0" w:type="dxa"/>
            </w:tcMar>
            <w:tcW w:w="709" w:type="dxa"/>
            <w:vAlign w:val="center"/>
            <w:vMerge w:val="restart"/>
            <w:textDirection w:val="lrTb"/>
            <w:noWrap w:val="false"/>
          </w:tcPr>
          <w:p>
            <w:pPr>
              <w:ind w:left="0" w:right="0" w:firstLine="0"/>
              <w:jc w:val="center"/>
              <w:spacing w:line="240" w:lineRule="auto"/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</w:rPr>
              <w:t xml:space="preserve">2026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</w:rPr>
            </w:r>
          </w:p>
        </w:tc>
        <w:tc>
          <w:tcPr>
            <w:tcBorders>
              <w:top w:val="single" w:color="000000" w:sz="6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108" w:type="dxa"/>
              <w:bottom w:w="0" w:type="dxa"/>
            </w:tcMar>
            <w:tcW w:w="709" w:type="dxa"/>
            <w:vAlign w:val="center"/>
            <w:vMerge w:val="restart"/>
            <w:textDirection w:val="lrTb"/>
            <w:noWrap w:val="false"/>
          </w:tcPr>
          <w:p>
            <w:pPr>
              <w:ind w:left="0" w:right="0" w:firstLine="0"/>
              <w:jc w:val="center"/>
              <w:spacing w:line="240" w:lineRule="auto"/>
              <w:rPr>
                <w:b w:val="0"/>
                <w:bCs w:val="0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Borders>
              <w:top w:val="single" w:color="000000" w:sz="6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108" w:type="dxa"/>
              <w:bottom w:w="0" w:type="dxa"/>
            </w:tcMar>
            <w:tcW w:w="709" w:type="dxa"/>
            <w:vAlign w:val="center"/>
            <w:vMerge w:val="restart"/>
            <w:textDirection w:val="lrTb"/>
            <w:noWrap w:val="false"/>
          </w:tcPr>
          <w:p>
            <w:pPr>
              <w:ind w:left="0" w:right="0" w:firstLine="0"/>
              <w:jc w:val="center"/>
              <w:spacing w:line="240" w:lineRule="auto"/>
              <w:rPr>
                <w:b w:val="0"/>
                <w:bCs w:val="0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</w:tr>
    </w:tbl>
    <w:p>
      <w:pPr>
        <w:ind w:left="0" w:right="0" w:firstLine="0"/>
        <w:jc w:val="center"/>
        <w:spacing w:after="0" w:line="240" w:lineRule="auto"/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</w:rPr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</w:rPr>
      </w:r>
    </w:p>
    <w:p>
      <w:pPr>
        <w:pStyle w:val="915"/>
        <w:ind w:firstLine="0"/>
        <w:jc w:val="center"/>
        <w:spacing w:line="240" w:lineRule="auto"/>
        <w:rPr>
          <w:sz w:val="24"/>
          <w:szCs w:val="24"/>
          <w:highlight w:val="none"/>
        </w:rPr>
        <w:suppressLineNumbers w:val="0"/>
      </w:pPr>
      <w:r>
        <w:rPr>
          <w:b w:val="0"/>
          <w:bCs w:val="0"/>
          <w:sz w:val="24"/>
          <w:szCs w:val="24"/>
        </w:rPr>
        <w:t xml:space="preserve">IX.</w:t>
      </w:r>
      <w:r>
        <w:rPr>
          <w:b w:val="0"/>
          <w:bCs w:val="0"/>
          <w:sz w:val="24"/>
          <w:szCs w:val="24"/>
        </w:rPr>
        <w:t xml:space="preserve"> Форма предоставления инвестиционной программы.</w:t>
      </w:r>
      <w:r>
        <w:rPr>
          <w:b w:val="0"/>
          <w:bCs w:val="0"/>
          <w:sz w:val="24"/>
          <w:szCs w:val="24"/>
          <w:highlight w:val="none"/>
        </w:rPr>
      </w:r>
      <w:r>
        <w:rPr>
          <w:b w:val="0"/>
          <w:bCs w:val="0"/>
          <w:sz w:val="24"/>
          <w:szCs w:val="24"/>
          <w:highlight w:val="none"/>
        </w:rPr>
      </w:r>
    </w:p>
    <w:p>
      <w:pPr>
        <w:pStyle w:val="915"/>
        <w:ind w:firstLine="0"/>
        <w:jc w:val="center"/>
        <w:spacing w:line="240" w:lineRule="auto"/>
        <w:rPr>
          <w:sz w:val="24"/>
          <w:szCs w:val="24"/>
        </w:rPr>
        <w:suppressLineNumbers w:val="0"/>
      </w:pP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pStyle w:val="915"/>
        <w:contextualSpacing/>
        <w:ind w:firstLine="720"/>
        <w:jc w:val="both"/>
        <w:spacing w:before="0" w:after="0" w:line="240" w:lineRule="auto"/>
        <w:tabs>
          <w:tab w:val="left" w:pos="0" w:leader="none"/>
          <w:tab w:val="clear" w:pos="708" w:leader="none"/>
        </w:tabs>
        <w:rPr>
          <w:sz w:val="24"/>
          <w:szCs w:val="24"/>
        </w:rPr>
        <w:suppressLineNumbers w:val="0"/>
      </w:pPr>
      <w:r>
        <w:rPr>
          <w:b w:val="0"/>
          <w:bCs w:val="0"/>
          <w:sz w:val="24"/>
          <w:szCs w:val="24"/>
        </w:rPr>
        <w:t xml:space="preserve">Инвестиционная программа представляется на бумажном и электронном носителях.</w:t>
      </w:r>
      <w:r>
        <w:rPr>
          <w:sz w:val="24"/>
          <w:szCs w:val="24"/>
        </w:rPr>
        <w:t xml:space="preserve">»</w:t>
      </w:r>
      <w:r>
        <w:rPr>
          <w:sz w:val="24"/>
          <w:szCs w:val="24"/>
        </w:rPr>
      </w:r>
    </w:p>
    <w:p>
      <w:pPr>
        <w:pStyle w:val="915"/>
        <w:spacing w:line="240" w:lineRule="auto"/>
        <w:rPr>
          <w:b/>
          <w:bCs/>
          <w:sz w:val="24"/>
          <w:szCs w:val="24"/>
          <w:highlight w:val="none"/>
        </w:rPr>
      </w:pP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  <w:highlight w:val="none"/>
        </w:rPr>
      </w:r>
      <w:r>
        <w:rPr>
          <w:b w:val="0"/>
          <w:bCs w:val="0"/>
          <w:sz w:val="24"/>
          <w:szCs w:val="24"/>
          <w:highlight w:val="none"/>
        </w:rPr>
      </w:r>
    </w:p>
    <w:p>
      <w:pPr>
        <w:pStyle w:val="915"/>
        <w:spacing w:line="240" w:lineRule="auto"/>
        <w:rPr>
          <w:b/>
          <w:bCs/>
          <w:sz w:val="24"/>
          <w:szCs w:val="24"/>
          <w:highlight w:val="none"/>
        </w:rPr>
      </w:pP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  <w:highlight w:val="none"/>
        </w:rPr>
      </w:r>
      <w:r>
        <w:rPr>
          <w:b w:val="0"/>
          <w:bCs w:val="0"/>
          <w:sz w:val="24"/>
          <w:szCs w:val="24"/>
          <w:highlight w:val="none"/>
        </w:rPr>
      </w:r>
    </w:p>
    <w:p>
      <w:pPr>
        <w:pStyle w:val="915"/>
        <w:spacing w:line="240" w:lineRule="auto"/>
        <w:rPr>
          <w:b/>
          <w:bCs/>
          <w:sz w:val="24"/>
          <w:szCs w:val="24"/>
          <w:highlight w:val="none"/>
        </w:rPr>
      </w:pP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  <w:highlight w:val="none"/>
        </w:rPr>
      </w:r>
      <w:r>
        <w:rPr>
          <w:b w:val="0"/>
          <w:bCs w:val="0"/>
          <w:sz w:val="24"/>
          <w:szCs w:val="24"/>
          <w:highlight w:val="none"/>
        </w:rPr>
      </w:r>
    </w:p>
    <w:p>
      <w:pPr>
        <w:pStyle w:val="915"/>
        <w:ind w:firstLine="0"/>
        <w:jc w:val="both"/>
        <w:spacing w:line="240" w:lineRule="auto"/>
        <w:rPr>
          <w:sz w:val="24"/>
          <w:szCs w:val="24"/>
        </w:rPr>
      </w:pP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pStyle w:val="915"/>
        <w:spacing w:line="240" w:lineRule="auto"/>
        <w:rPr>
          <w:sz w:val="24"/>
          <w:szCs w:val="24"/>
        </w:rPr>
      </w:pP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  <w:t xml:space="preserve">Начальник отдела по организационной работе, </w:t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pStyle w:val="915"/>
        <w:spacing w:line="240" w:lineRule="auto"/>
        <w:rPr>
          <w:sz w:val="24"/>
          <w:szCs w:val="24"/>
        </w:rPr>
      </w:pPr>
      <w:r>
        <w:rPr>
          <w:b w:val="0"/>
          <w:bCs w:val="0"/>
          <w:sz w:val="24"/>
          <w:szCs w:val="24"/>
        </w:rPr>
        <w:t xml:space="preserve">контролю и делопроизводству администрации</w:t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pStyle w:val="915"/>
        <w:spacing w:line="240" w:lineRule="auto"/>
        <w:rPr>
          <w:sz w:val="24"/>
          <w:szCs w:val="24"/>
        </w:rPr>
      </w:pP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  <w:t xml:space="preserve">Тайшетского городского поселения</w:t>
        <w:tab/>
        <w:tab/>
        <w:tab/>
        <w:tab/>
        <w:tab/>
        <w:t xml:space="preserve"> В.Д. Бычкова</w:t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sectPr>
      <w:headerReference w:type="default" r:id="rId9"/>
      <w:headerReference w:type="even" r:id="rId10"/>
      <w:footnotePr/>
      <w:endnotePr/>
      <w:type w:val="nextPage"/>
      <w:pgSz w:w="11906" w:h="16838" w:orient="portrait"/>
      <w:pgMar w:top="1134" w:right="850" w:bottom="1134" w:left="1701" w:header="720" w:footer="0" w:gutter="0"/>
      <w:cols w:num="1" w:sep="0" w:space="1701" w:equalWidth="1"/>
      <w:docGrid w:linePitch="36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</w:font>
  <w:font w:name="Tahoma">
    <w:panose1 w:val="020B0604030504040204"/>
  </w:font>
  <w:font w:name="Cambria">
    <w:panose1 w:val="02040503050406030204"/>
  </w:font>
  <w:font w:name="PT Astra Serif">
    <w:panose1 w:val="020A0603040505020204"/>
  </w:font>
  <w:font w:name="Arial">
    <w:panose1 w:val="020B0604020202020204"/>
  </w:font>
  <w:font w:name="Arial Unicode MS">
    <w:panose1 w:val="020B0604020202020204"/>
  </w:font>
  <w:font w:name="Times New Roman">
    <w:panose1 w:val="020206030504050203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968"/>
    </w:pPr>
    <w:r>
      <mc:AlternateContent>
        <mc:Choice Requires="wpg">
          <w:drawing>
            <wp:anchor xmlns:wp="http://schemas.openxmlformats.org/drawingml/2006/wordprocessingDrawing" xmlns:wp14="http://schemas.microsoft.com/office/word/2010/wordprocessingDrawing" distT="0" distB="0" distL="0" distR="0" simplePos="0" relativeHeight="14" behindDoc="1" locked="0" layoutInCell="0" allowOverlap="1">
              <wp:simplePos x="0" y="0"/>
              <wp:positionH relativeFrom="page">
                <wp:posOffset>9964420</wp:posOffset>
              </wp:positionH>
              <wp:positionV relativeFrom="page">
                <wp:posOffset>3973830</wp:posOffset>
              </wp:positionV>
              <wp:extent cx="727710" cy="329565"/>
              <wp:effectExtent l="0" t="0" r="0" b="0"/>
              <wp:wrapNone/>
              <wp:docPr id="1" name="_x005F_x0000_s205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Pr id="0" name=""/>
                    <wps:cNvSpPr/>
                    <wps:spPr bwMode="auto">
                      <a:xfrm>
                        <a:off x="0" y="0"/>
                        <a:ext cx="727560" cy="3294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915"/>
                            <w:pBdr>
                              <w:bottom w:val="single" w:color="000000" w:sz="4" w:space="1"/>
                            </w:pBdr>
                          </w:pPr>
                          <w:r/>
                          <w:r/>
                        </w:p>
                        <w:p>
                          <w:pPr>
                            <w:pStyle w:val="915"/>
                            <w:pBdr>
                              <w:bottom w:val="single" w:color="000000" w:sz="4" w:space="1"/>
                            </w:pBdr>
                          </w:pPr>
                          <w:r/>
                          <w:r/>
                        </w:p>
                        <w:p>
                          <w:pPr>
                            <w:pStyle w:val="915"/>
                            <w:pBdr>
                              <w:bottom w:val="single" w:color="000000" w:sz="4" w:space="1"/>
                            </w:pBdr>
                          </w:pPr>
                          <w:r>
                            <w:fldChar w:fldCharType="begin"/>
                          </w:r>
                          <w: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 xml:space="preserve">8</w:t>
                          </w:r>
                          <w:r>
                            <w:fldChar w:fldCharType="end"/>
                          </w:r>
                          <w:r/>
                        </w:p>
                        <w:p>
                          <w:pPr>
                            <w:pStyle w:val="915"/>
                          </w:pPr>
                          <w:r/>
                          <w:r/>
                        </w:p>
                      </w:txbxContent>
                    </wps:txbx>
                    <wps:bodyPr vert="vert" lIns="45720" tIns="91440" rIns="45720" bIns="91440" anchor="t" upright="1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id="shape 0" o:spid="_x0000_s0" o:spt="1" type="#_x0000_t1" style="position:absolute;z-index:-14;o:allowoverlap:true;o:allowincell:false;mso-position-horizontal-relative:page;margin-left:784.60pt;mso-position-horizontal:absolute;mso-position-vertical-relative:page;margin-top:312.90pt;mso-position-vertical:absolute;width:57.30pt;height:25.95pt;mso-wrap-distance-left:0.00pt;mso-wrap-distance-top:0.00pt;mso-wrap-distance-right:0.00pt;mso-wrap-distance-bottom:0.00pt;v-text-anchor:top;visibility:visible;" fillcolor="#FFFFFF" stroked="f" strokeweight="0.00pt">
              <v:textbox inset="0,0,0,0">
                <w:txbxContent>
                  <w:p>
                    <w:pPr>
                      <w:pStyle w:val="915"/>
                      <w:pBdr>
                        <w:bottom w:val="single" w:color="000000" w:sz="4" w:space="1"/>
                      </w:pBdr>
                    </w:pPr>
                    <w:r/>
                    <w:r/>
                  </w:p>
                  <w:p>
                    <w:pPr>
                      <w:pStyle w:val="915"/>
                      <w:pBdr>
                        <w:bottom w:val="single" w:color="000000" w:sz="4" w:space="1"/>
                      </w:pBdr>
                    </w:pPr>
                    <w:r/>
                    <w:r/>
                  </w:p>
                  <w:p>
                    <w:pPr>
                      <w:pStyle w:val="915"/>
                      <w:pBdr>
                        <w:bottom w:val="single" w:color="000000" w:sz="4" w:space="1"/>
                      </w:pBdr>
                    </w:pPr>
                    <w:r>
                      <w:fldChar w:fldCharType="begin"/>
                    </w:r>
                    <w:r>
                      <w:instrText xml:space="preserve"> PAGE </w:instrText>
                    </w:r>
                    <w:r>
                      <w:fldChar w:fldCharType="separate"/>
                    </w:r>
                    <w:r>
                      <w:t xml:space="preserve">8</w:t>
                    </w:r>
                    <w:r>
                      <w:fldChar w:fldCharType="end"/>
                    </w:r>
                    <w:r/>
                  </w:p>
                  <w:p>
                    <w:pPr>
                      <w:pStyle w:val="915"/>
                    </w:pPr>
                    <w:r/>
                    <w:r/>
                  </w:p>
                </w:txbxContent>
              </v:textbox>
            </v:shape>
          </w:pict>
        </mc:Fallback>
      </mc:AlternateContent>
    </w:r>
    <w:r/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968"/>
    </w:pPr>
    <w:r>
      <mc:AlternateContent>
        <mc:Choice Requires="wpg">
          <w:drawing>
            <wp:anchor xmlns:wp="http://schemas.openxmlformats.org/drawingml/2006/wordprocessingDrawing" xmlns:wp14="http://schemas.microsoft.com/office/word/2010/wordprocessingDrawing" distT="0" distB="0" distL="0" distR="0" simplePos="0" relativeHeight="16" behindDoc="1" locked="0" layoutInCell="0" allowOverlap="1">
              <wp:simplePos x="0" y="0"/>
              <wp:positionH relativeFrom="page">
                <wp:posOffset>0</wp:posOffset>
              </wp:positionH>
              <wp:positionV relativeFrom="page">
                <wp:posOffset>0</wp:posOffset>
              </wp:positionV>
              <wp:extent cx="727710" cy="329565"/>
              <wp:effectExtent l="0" t="0" r="0" b="0"/>
              <wp:wrapNone/>
              <wp:docPr id="2" name="_x005F_x0000_s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Pr id="0" name=""/>
                    <wps:cNvSpPr/>
                    <wps:spPr bwMode="auto">
                      <a:xfrm>
                        <a:off x="0" y="0"/>
                        <a:ext cx="727560" cy="3294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0">
                        <a:noFill/>
                        <a:round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915"/>
                            <w:pBdr>
                              <w:bottom w:val="single" w:color="000000" w:sz="4" w:space="1"/>
                            </w:pBdr>
                          </w:pPr>
                          <w:r/>
                          <w:r/>
                        </w:p>
                        <w:p>
                          <w:pPr>
                            <w:pStyle w:val="915"/>
                            <w:pBdr>
                              <w:bottom w:val="single" w:color="000000" w:sz="4" w:space="1"/>
                            </w:pBdr>
                          </w:pPr>
                          <w:r/>
                          <w:r/>
                        </w:p>
                        <w:p>
                          <w:pPr>
                            <w:pStyle w:val="915"/>
                            <w:pBdr>
                              <w:bottom w:val="single" w:color="000000" w:sz="4" w:space="1"/>
                            </w:pBdr>
                          </w:pPr>
                          <w:r>
                            <w:fldChar w:fldCharType="begin"/>
                          </w:r>
                          <w: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 xml:space="preserve">0</w:t>
                          </w:r>
                          <w:r>
                            <w:fldChar w:fldCharType="end"/>
                          </w:r>
                          <w:r/>
                        </w:p>
                        <w:p>
                          <w:pPr>
                            <w:pStyle w:val="915"/>
                          </w:pPr>
                          <w:r/>
                          <w:r/>
                        </w:p>
                      </w:txbxContent>
                    </wps:txbx>
                    <wps:bodyPr vert="vert" lIns="45720" tIns="91440" rIns="45720" bIns="91440" anchor="t" upright="1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id="shape 1" o:spid="_x0000_s1" o:spt="1" type="#_x0000_t1" style="position:absolute;z-index:-16;o:allowoverlap:true;o:allowincell:false;mso-position-horizontal-relative:page;margin-left:0.00pt;mso-position-horizontal:absolute;mso-position-vertical-relative:page;margin-top:0.00pt;mso-position-vertical:absolute;width:57.30pt;height:25.95pt;mso-wrap-distance-left:0.00pt;mso-wrap-distance-top:0.00pt;mso-wrap-distance-right:0.00pt;mso-wrap-distance-bottom:0.00pt;v-text-anchor:top;visibility:visible;" fillcolor="#FFFFFF" stroked="f" strokeweight="0.00pt">
              <v:textbox inset="0,0,0,0">
                <w:txbxContent>
                  <w:p>
                    <w:pPr>
                      <w:pStyle w:val="915"/>
                      <w:pBdr>
                        <w:bottom w:val="single" w:color="000000" w:sz="4" w:space="1"/>
                      </w:pBdr>
                    </w:pPr>
                    <w:r/>
                    <w:r/>
                  </w:p>
                  <w:p>
                    <w:pPr>
                      <w:pStyle w:val="915"/>
                      <w:pBdr>
                        <w:bottom w:val="single" w:color="000000" w:sz="4" w:space="1"/>
                      </w:pBdr>
                    </w:pPr>
                    <w:r/>
                    <w:r/>
                  </w:p>
                  <w:p>
                    <w:pPr>
                      <w:pStyle w:val="915"/>
                      <w:pBdr>
                        <w:bottom w:val="single" w:color="000000" w:sz="4" w:space="1"/>
                      </w:pBdr>
                    </w:pPr>
                    <w:r>
                      <w:fldChar w:fldCharType="begin"/>
                    </w:r>
                    <w:r>
                      <w:instrText xml:space="preserve"> PAGE </w:instrText>
                    </w:r>
                    <w:r>
                      <w:fldChar w:fldCharType="separate"/>
                    </w:r>
                    <w:r>
                      <w:t xml:space="preserve">0</w:t>
                    </w:r>
                    <w:r>
                      <w:fldChar w:fldCharType="end"/>
                    </w:r>
                    <w:r/>
                  </w:p>
                  <w:p>
                    <w:pPr>
                      <w:pStyle w:val="915"/>
                    </w:pPr>
                    <w:r/>
                    <w:r/>
                  </w:p>
                </w:txbxContent>
              </v:textbox>
            </v:shape>
          </w:pict>
        </mc:Fallback>
      </mc:AlternateContent>
    </w:r>
    <w:r>
      <mc:AlternateContent>
        <mc:Choice Requires="wpg">
          <w:drawing>
            <wp:anchor xmlns:wp="http://schemas.openxmlformats.org/drawingml/2006/wordprocessingDrawing" xmlns:wp14="http://schemas.microsoft.com/office/word/2010/wordprocessingDrawing" distT="0" distB="0" distL="0" distR="0" simplePos="0" relativeHeight="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635</wp:posOffset>
              </wp:positionV>
              <wp:extent cx="14605" cy="14605"/>
              <wp:effectExtent l="0" t="0" r="0" b="0"/>
              <wp:wrapSquare wrapText="bothSides"/>
              <wp:docPr id="3" name="Врезка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Pr id="0" name=""/>
                    <wps:cNvSpPr txBox="1"/>
                    <wps:spPr bwMode="auto">
                      <a:xfrm>
                        <a:off x="0" y="0"/>
                        <a:ext cx="14605" cy="14605"/>
                      </a:xfrm>
                      <a:prstGeom prst="rect">
                        <a:avLst/>
                      </a:prstGeom>
                      <a:solidFill>
                        <a:srgbClr val="FFFFFF">
                          <a:alpha val="0"/>
                        </a:srgbClr>
                      </a:solidFill>
                    </wps:spPr>
                    <wps:txbx>
                      <w:txbxContent>
                        <w:p>
                          <w:pPr>
                            <w:pStyle w:val="968"/>
                            <w:rPr>
                              <w:rStyle w:val="951"/>
                            </w:rPr>
                          </w:pPr>
                          <w:r>
                            <w:rPr>
                              <w:rStyle w:val="951"/>
                            </w:rPr>
                            <w:fldChar w:fldCharType="begin"/>
                          </w:r>
                          <w:r>
                            <w:rPr>
                              <w:rStyle w:val="951"/>
                            </w:rPr>
                            <w:instrText xml:space="preserve"> PAGE </w:instrText>
                          </w:r>
                          <w:r>
                            <w:rPr>
                              <w:rStyle w:val="951"/>
                            </w:rPr>
                            <w:fldChar w:fldCharType="separate"/>
                          </w:r>
                          <w:r>
                            <w:rPr>
                              <w:rStyle w:val="951"/>
                            </w:rPr>
                            <w:t xml:space="preserve">0</w:t>
                          </w:r>
                          <w:r>
                            <w:rPr>
                              <w:rStyle w:val="951"/>
                            </w:rPr>
                            <w:fldChar w:fldCharType="end"/>
                          </w:r>
                          <w:r>
                            <w:rPr>
                              <w:rStyle w:val="951"/>
                            </w:rPr>
                          </w:r>
                          <w:r>
                            <w:rPr>
                              <w:rStyle w:val="951"/>
                            </w:rPr>
                          </w:r>
                        </w:p>
                      </w:txbxContent>
                    </wps:txbx>
                    <wps:bodyPr lIns="0" tIns="0" rIns="0" bIns="0" anchor="t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shape 2" o:spid="_x0000_s2" o:spt="202" type="#_x0000_t202" style="position:absolute;z-index:0;o:allowoverlap:true;o:allowincell:true;mso-position-horizontal-relative:margin;mso-position-horizontal:center;mso-position-vertical-relative:text;margin-top:0.05pt;mso-position-vertical:absolute;width:1.15pt;height:1.15pt;mso-wrap-distance-left:0.00pt;mso-wrap-distance-top:0.00pt;mso-wrap-distance-right:0.00pt;mso-wrap-distance-bottom:0.00pt;v-text-anchor:top;visibility:visible;" fillcolor="#FFFFFF">
              <v:fill opacity="100f"/>
              <w10:wrap type="square"/>
              <v:textbox inset="0,0,0,0">
                <w:txbxContent>
                  <w:p>
                    <w:pPr>
                      <w:pStyle w:val="968"/>
                      <w:rPr>
                        <w:rStyle w:val="951"/>
                      </w:rPr>
                    </w:pPr>
                    <w:r>
                      <w:rPr>
                        <w:rStyle w:val="951"/>
                      </w:rPr>
                      <w:fldChar w:fldCharType="begin"/>
                    </w:r>
                    <w:r>
                      <w:rPr>
                        <w:rStyle w:val="951"/>
                      </w:rPr>
                      <w:instrText xml:space="preserve"> PAGE </w:instrText>
                    </w:r>
                    <w:r>
                      <w:rPr>
                        <w:rStyle w:val="951"/>
                      </w:rPr>
                      <w:fldChar w:fldCharType="separate"/>
                    </w:r>
                    <w:r>
                      <w:rPr>
                        <w:rStyle w:val="951"/>
                      </w:rPr>
                      <w:t xml:space="preserve">0</w:t>
                    </w:r>
                    <w:r>
                      <w:rPr>
                        <w:rStyle w:val="951"/>
                      </w:rPr>
                      <w:fldChar w:fldCharType="end"/>
                    </w:r>
                    <w:r>
                      <w:rPr>
                        <w:rStyle w:val="951"/>
                      </w:rPr>
                    </w:r>
                    <w:r>
                      <w:rPr>
                        <w:rStyle w:val="951"/>
                      </w:rPr>
                    </w:r>
                  </w:p>
                </w:txbxContent>
              </v:textbox>
            </v:shape>
          </w:pict>
        </mc:Fallback>
      </mc:AlternateContent>
    </w:r>
    <w:r/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450" w:hanging="450"/>
        <w:tabs>
          <w:tab w:val="num" w:pos="0" w:leader="none"/>
        </w:tabs>
      </w:pPr>
      <w:rPr>
        <w:rFonts w:cs="Times New Roman"/>
      </w:rPr>
    </w:lvl>
    <w:lvl w:ilvl="1">
      <w:start w:val="1"/>
      <w:numFmt w:val="decimal"/>
      <w:isLgl w:val="false"/>
      <w:suff w:val="tab"/>
      <w:lvlText w:val="%1.%2."/>
      <w:lvlJc w:val="left"/>
      <w:pPr>
        <w:ind w:left="720" w:hanging="720"/>
        <w:tabs>
          <w:tab w:val="num" w:pos="0" w:leader="none"/>
        </w:tabs>
      </w:pPr>
      <w:rPr>
        <w:rFonts w:cs="Times New Roman"/>
      </w:rPr>
    </w:lvl>
    <w:lvl w:ilvl="2">
      <w:start w:val="1"/>
      <w:numFmt w:val="decimal"/>
      <w:isLgl w:val="false"/>
      <w:suff w:val="tab"/>
      <w:lvlText w:val="%1.%2.%3."/>
      <w:lvlJc w:val="left"/>
      <w:pPr>
        <w:ind w:left="720" w:hanging="720"/>
        <w:tabs>
          <w:tab w:val="num" w:pos="0" w:leader="none"/>
        </w:tabs>
      </w:pPr>
      <w:rPr>
        <w:rFonts w:cs="Times New Roman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1080" w:hanging="1080"/>
        <w:tabs>
          <w:tab w:val="num" w:pos="0" w:leader="none"/>
        </w:tabs>
      </w:pPr>
      <w:rPr>
        <w:rFonts w:cs="Times New Roman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1080" w:hanging="1080"/>
        <w:tabs>
          <w:tab w:val="num" w:pos="0" w:leader="none"/>
        </w:tabs>
      </w:pPr>
      <w:rPr>
        <w:rFonts w:cs="Times New Roman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1440" w:hanging="1440"/>
        <w:tabs>
          <w:tab w:val="num" w:pos="0" w:leader="none"/>
        </w:tabs>
      </w:pPr>
      <w:rPr>
        <w:rFonts w:cs="Times New Roman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1800" w:hanging="1800"/>
        <w:tabs>
          <w:tab w:val="num" w:pos="0" w:leader="none"/>
        </w:tabs>
      </w:pPr>
      <w:rPr>
        <w:rFonts w:cs="Times New Roman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1800" w:hanging="1800"/>
        <w:tabs>
          <w:tab w:val="num" w:pos="0" w:leader="none"/>
        </w:tabs>
      </w:pPr>
      <w:rPr>
        <w:rFonts w:cs="Times New Roman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2160" w:hanging="2160"/>
        <w:tabs>
          <w:tab w:val="num" w:pos="0" w:leader="none"/>
        </w:tabs>
      </w:pPr>
      <w:rPr>
        <w:rFonts w:cs="Times New Roman"/>
      </w:rPr>
    </w:lvl>
  </w:abstractNum>
  <w:abstractNum w:abstractNumId="1">
    <w:multiLevelType w:val="hybridMultilevel"/>
    <w:lvl w:ilvl="0">
      <w:start w:val="1"/>
      <w:numFmt w:val="none"/>
      <w:isLgl w:val="false"/>
      <w:suff w:val="nothing"/>
      <w:lvlText w:val=""/>
      <w:lvlJc w:val="left"/>
      <w:pPr>
        <w:ind w:left="0" w:firstLine="0"/>
        <w:tabs>
          <w:tab w:val="num" w:pos="0" w:leader="none"/>
        </w:tabs>
      </w:pPr>
    </w:lvl>
    <w:lvl w:ilvl="1">
      <w:start w:val="1"/>
      <w:numFmt w:val="none"/>
      <w:isLgl w:val="false"/>
      <w:suff w:val="nothing"/>
      <w:lvlText w:val=""/>
      <w:lvlJc w:val="left"/>
      <w:pPr>
        <w:ind w:left="0" w:firstLine="0"/>
        <w:tabs>
          <w:tab w:val="num" w:pos="0" w:leader="none"/>
        </w:tabs>
      </w:pPr>
    </w:lvl>
    <w:lvl w:ilvl="2">
      <w:start w:val="1"/>
      <w:numFmt w:val="none"/>
      <w:isLgl w:val="false"/>
      <w:suff w:val="nothing"/>
      <w:lvlText w:val=""/>
      <w:lvlJc w:val="left"/>
      <w:pPr>
        <w:ind w:left="0" w:firstLine="0"/>
        <w:tabs>
          <w:tab w:val="num" w:pos="0" w:leader="none"/>
        </w:tabs>
      </w:pPr>
    </w:lvl>
    <w:lvl w:ilvl="3">
      <w:start w:val="1"/>
      <w:numFmt w:val="none"/>
      <w:isLgl w:val="false"/>
      <w:suff w:val="nothing"/>
      <w:lvlText w:val=""/>
      <w:lvlJc w:val="left"/>
      <w:pPr>
        <w:ind w:left="0" w:firstLine="0"/>
        <w:tabs>
          <w:tab w:val="num" w:pos="0" w:leader="none"/>
        </w:tabs>
      </w:pPr>
    </w:lvl>
    <w:lvl w:ilvl="4">
      <w:start w:val="1"/>
      <w:numFmt w:val="none"/>
      <w:isLgl w:val="false"/>
      <w:suff w:val="nothing"/>
      <w:lvlText w:val=""/>
      <w:lvlJc w:val="left"/>
      <w:pPr>
        <w:ind w:left="0" w:firstLine="0"/>
        <w:tabs>
          <w:tab w:val="num" w:pos="0" w:leader="none"/>
        </w:tabs>
      </w:pPr>
    </w:lvl>
    <w:lvl w:ilvl="5">
      <w:start w:val="1"/>
      <w:numFmt w:val="none"/>
      <w:isLgl w:val="false"/>
      <w:suff w:val="nothing"/>
      <w:lvlText w:val=""/>
      <w:lvlJc w:val="left"/>
      <w:pPr>
        <w:ind w:left="0" w:firstLine="0"/>
        <w:tabs>
          <w:tab w:val="num" w:pos="0" w:leader="none"/>
        </w:tabs>
      </w:pPr>
    </w:lvl>
    <w:lvl w:ilvl="6">
      <w:start w:val="1"/>
      <w:numFmt w:val="none"/>
      <w:isLgl w:val="false"/>
      <w:suff w:val="nothing"/>
      <w:lvlText w:val=""/>
      <w:lvlJc w:val="left"/>
      <w:pPr>
        <w:ind w:left="0" w:firstLine="0"/>
        <w:tabs>
          <w:tab w:val="num" w:pos="0" w:leader="none"/>
        </w:tabs>
      </w:pPr>
    </w:lvl>
    <w:lvl w:ilvl="7">
      <w:start w:val="1"/>
      <w:numFmt w:val="none"/>
      <w:isLgl w:val="false"/>
      <w:suff w:val="nothing"/>
      <w:lvlText w:val=""/>
      <w:lvlJc w:val="left"/>
      <w:pPr>
        <w:ind w:left="0" w:firstLine="0"/>
        <w:tabs>
          <w:tab w:val="num" w:pos="0" w:leader="none"/>
        </w:tabs>
      </w:pPr>
    </w:lvl>
    <w:lvl w:ilvl="8">
      <w:start w:val="1"/>
      <w:numFmt w:val="none"/>
      <w:isLgl w:val="false"/>
      <w:suff w:val="nothing"/>
      <w:lvlText w:val=""/>
      <w:lvlJc w:val="left"/>
      <w:pPr>
        <w:ind w:left="0" w:firstLine="0"/>
        <w:tabs>
          <w:tab w:val="num" w:pos="0" w:leader="none"/>
        </w:tabs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="Times New Roman" w:hAnsi="Times New Roman" w:eastAsia="Arial Unicode MS" w:cs="Arial Unicode MS"/>
        <w:lang w:val="ru-RU" w:eastAsia="zh-CN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table" w:styleId="789">
    <w:name w:val="Table Grid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90">
    <w:name w:val="Table Grid Light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91">
    <w:name w:val="Plain Table 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92">
    <w:name w:val="Plain Table 2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93">
    <w:name w:val="Plain Table 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94">
    <w:name w:val="Plain Table 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5">
    <w:name w:val="Plain Table 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96">
    <w:name w:val="Grid Table 1 Light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7">
    <w:name w:val="Grid Table 1 Light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8">
    <w:name w:val="Grid Table 1 Light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9">
    <w:name w:val="Grid Table 1 Light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0">
    <w:name w:val="Grid Table 1 Light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1">
    <w:name w:val="Grid Table 1 Light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2">
    <w:name w:val="Grid Table 1 Light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3">
    <w:name w:val="Grid Table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4">
    <w:name w:val="Grid Table 2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5">
    <w:name w:val="Grid Table 2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6">
    <w:name w:val="Grid Table 2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7">
    <w:name w:val="Grid Table 2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8">
    <w:name w:val="Grid Table 2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9">
    <w:name w:val="Grid Table 2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0">
    <w:name w:val="Grid Table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1">
    <w:name w:val="Grid Table 3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2">
    <w:name w:val="Grid Table 3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3">
    <w:name w:val="Grid Table 3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4">
    <w:name w:val="Grid Table 3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5">
    <w:name w:val="Grid Table 3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6">
    <w:name w:val="Grid Table 3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7">
    <w:name w:val="Grid Table 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818">
    <w:name w:val="Grid Table 4 - Accent 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819">
    <w:name w:val="Grid Table 4 - Accent 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820">
    <w:name w:val="Grid Table 4 - Accent 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821">
    <w:name w:val="Grid Table 4 - Accent 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822">
    <w:name w:val="Grid Table 4 - Accent 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23">
    <w:name w:val="Grid Table 4 - Accent 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24">
    <w:name w:val="Grid Table 5 Dark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825">
    <w:name w:val="Grid Table 5 Dark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826">
    <w:name w:val="Grid Table 5 Dark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827">
    <w:name w:val="Grid Table 5 Dark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828">
    <w:name w:val="Grid Table 5 Dark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829">
    <w:name w:val="Grid Table 5 Dark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830">
    <w:name w:val="Grid Table 5 Dark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831">
    <w:name w:val="Grid Table 6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832">
    <w:name w:val="Grid Table 6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833">
    <w:name w:val="Grid Table 6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834">
    <w:name w:val="Grid Table 6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835">
    <w:name w:val="Grid Table 6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836">
    <w:name w:val="Grid Table 6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837">
    <w:name w:val="Grid Table 6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838">
    <w:name w:val="Grid Table 7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39">
    <w:name w:val="Grid Table 7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0">
    <w:name w:val="Grid Table 7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1">
    <w:name w:val="Grid Table 7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2">
    <w:name w:val="Grid Table 7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3">
    <w:name w:val="Grid Table 7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4">
    <w:name w:val="Grid Table 7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5">
    <w:name w:val="List Table 1 Light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6">
    <w:name w:val="List Table 1 Light - Accent 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7">
    <w:name w:val="List Table 1 Light - Accent 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8">
    <w:name w:val="List Table 1 Light - Accent 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9">
    <w:name w:val="List Table 1 Light - Accent 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50">
    <w:name w:val="List Table 1 Light - Accent 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51">
    <w:name w:val="List Table 1 Light - Accent 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52">
    <w:name w:val="List Table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853">
    <w:name w:val="List Table 2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854">
    <w:name w:val="List Table 2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855">
    <w:name w:val="List Table 2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856">
    <w:name w:val="List Table 2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857">
    <w:name w:val="List Table 2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858">
    <w:name w:val="List Table 2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859">
    <w:name w:val="List Table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60">
    <w:name w:val="List Table 3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61">
    <w:name w:val="List Table 3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62">
    <w:name w:val="List Table 3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63">
    <w:name w:val="List Table 3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64">
    <w:name w:val="List Table 3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65">
    <w:name w:val="List Table 3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66">
    <w:name w:val="List Table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67">
    <w:name w:val="List Table 4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68">
    <w:name w:val="List Table 4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69">
    <w:name w:val="List Table 4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70">
    <w:name w:val="List Table 4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71">
    <w:name w:val="List Table 4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72">
    <w:name w:val="List Table 4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73">
    <w:name w:val="List Table 5 Dark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74">
    <w:name w:val="List Table 5 Dark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75">
    <w:name w:val="List Table 5 Dark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76">
    <w:name w:val="List Table 5 Dark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77">
    <w:name w:val="List Table 5 Dark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78">
    <w:name w:val="List Table 5 Dark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79">
    <w:name w:val="List Table 5 Dark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80">
    <w:name w:val="List Table 6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881">
    <w:name w:val="List Table 6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882">
    <w:name w:val="List Table 6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883">
    <w:name w:val="List Table 6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884">
    <w:name w:val="List Table 6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885">
    <w:name w:val="List Table 6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886">
    <w:name w:val="List Table 6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887">
    <w:name w:val="List Table 7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888">
    <w:name w:val="List Table 7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889">
    <w:name w:val="List Table 7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890">
    <w:name w:val="List Table 7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891">
    <w:name w:val="List Table 7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892">
    <w:name w:val="List Table 7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893">
    <w:name w:val="List Table 7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894">
    <w:name w:val="Lined - Accent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95">
    <w:name w:val="Lined - Accent 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96">
    <w:name w:val="Lined - Accent 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97">
    <w:name w:val="Lined - Accent 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98">
    <w:name w:val="Lined - Accent 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99">
    <w:name w:val="Lined - Accent 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900">
    <w:name w:val="Lined - Accent 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901">
    <w:name w:val="Bordered &amp; Lined - Accent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902">
    <w:name w:val="Bordered &amp; Lined - Accent 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903">
    <w:name w:val="Bordered &amp; Lined - Accent 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904">
    <w:name w:val="Bordered &amp; Lined - Accent 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905">
    <w:name w:val="Bordered &amp; Lined - Accent 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906">
    <w:name w:val="Bordered &amp; Lined - Accent 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907">
    <w:name w:val="Bordered &amp; Lined - Accent 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908">
    <w:name w:val="Bordered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909">
    <w:name w:val="Bordered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910">
    <w:name w:val="Bordered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911">
    <w:name w:val="Bordered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912">
    <w:name w:val="Bordered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913">
    <w:name w:val="Bordered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914">
    <w:name w:val="Bordered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paragraph" w:styleId="915" w:default="1">
    <w:name w:val="Normal"/>
    <w:qFormat/>
    <w:pPr>
      <w:jc w:val="left"/>
      <w:spacing w:before="0" w:after="0"/>
      <w:widowControl/>
    </w:pPr>
    <w:rPr>
      <w:rFonts w:ascii="Times New Roman" w:hAnsi="Times New Roman" w:eastAsia="Arial Unicode MS" w:cs="Arial Unicode MS"/>
      <w:color w:val="auto"/>
      <w:sz w:val="24"/>
      <w:szCs w:val="24"/>
      <w:lang w:val="ru-RU" w:eastAsia="ru-RU" w:bidi="ar-SA"/>
    </w:rPr>
  </w:style>
  <w:style w:type="paragraph" w:styleId="916">
    <w:name w:val="Heading 1"/>
    <w:basedOn w:val="915"/>
    <w:qFormat/>
    <w:pPr>
      <w:keepNext/>
      <w:spacing w:before="240" w:after="60"/>
      <w:outlineLvl w:val="0"/>
    </w:pPr>
    <w:rPr>
      <w:rFonts w:ascii="Cambria" w:hAnsi="Cambria"/>
      <w:b/>
      <w:bCs/>
      <w:sz w:val="32"/>
      <w:szCs w:val="32"/>
    </w:rPr>
  </w:style>
  <w:style w:type="paragraph" w:styleId="917">
    <w:name w:val="Heading 2"/>
    <w:basedOn w:val="915"/>
    <w:qFormat/>
    <w:pPr>
      <w:jc w:val="center"/>
      <w:keepNext/>
      <w:spacing w:before="320" w:after="0"/>
      <w:shd w:val="clear" w:color="auto" w:fill="ffffff"/>
      <w:widowControl w:val="off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918">
    <w:name w:val="Heading 3"/>
    <w:basedOn w:val="915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paragraph" w:styleId="919">
    <w:name w:val="Heading 4"/>
    <w:basedOn w:val="915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920">
    <w:name w:val="Heading 5"/>
    <w:basedOn w:val="915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paragraph" w:styleId="921">
    <w:name w:val="Heading 6"/>
    <w:basedOn w:val="915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paragraph" w:styleId="922">
    <w:name w:val="Heading 7"/>
    <w:basedOn w:val="915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923">
    <w:name w:val="Heading 8"/>
    <w:basedOn w:val="915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924">
    <w:name w:val="Heading 9"/>
    <w:basedOn w:val="915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925">
    <w:name w:val="Heading 1 Char"/>
    <w:uiPriority w:val="9"/>
    <w:qFormat/>
    <w:rPr>
      <w:rFonts w:ascii="Arial" w:hAnsi="Arial" w:eastAsia="Arial" w:cs="Arial"/>
      <w:sz w:val="40"/>
      <w:szCs w:val="40"/>
    </w:rPr>
  </w:style>
  <w:style w:type="character" w:styleId="926">
    <w:name w:val="Heading 2 Char"/>
    <w:uiPriority w:val="9"/>
    <w:qFormat/>
    <w:rPr>
      <w:rFonts w:ascii="Arial" w:hAnsi="Arial" w:eastAsia="Arial" w:cs="Arial"/>
      <w:sz w:val="34"/>
    </w:rPr>
  </w:style>
  <w:style w:type="character" w:styleId="927">
    <w:name w:val="Heading 3 Char"/>
    <w:uiPriority w:val="9"/>
    <w:qFormat/>
    <w:rPr>
      <w:rFonts w:ascii="Arial" w:hAnsi="Arial" w:eastAsia="Arial" w:cs="Arial"/>
      <w:sz w:val="30"/>
      <w:szCs w:val="30"/>
    </w:rPr>
  </w:style>
  <w:style w:type="character" w:styleId="928">
    <w:name w:val="Heading 4 Char"/>
    <w:uiPriority w:val="9"/>
    <w:qFormat/>
    <w:rPr>
      <w:rFonts w:ascii="Arial" w:hAnsi="Arial" w:eastAsia="Arial" w:cs="Arial"/>
      <w:b/>
      <w:bCs/>
      <w:sz w:val="26"/>
      <w:szCs w:val="26"/>
    </w:rPr>
  </w:style>
  <w:style w:type="character" w:styleId="929">
    <w:name w:val="Heading 5 Char"/>
    <w:uiPriority w:val="9"/>
    <w:qFormat/>
    <w:rPr>
      <w:rFonts w:ascii="Arial" w:hAnsi="Arial" w:eastAsia="Arial" w:cs="Arial"/>
      <w:b/>
      <w:bCs/>
      <w:sz w:val="24"/>
      <w:szCs w:val="24"/>
    </w:rPr>
  </w:style>
  <w:style w:type="character" w:styleId="930">
    <w:name w:val="Heading 6 Char"/>
    <w:uiPriority w:val="9"/>
    <w:qFormat/>
    <w:rPr>
      <w:rFonts w:ascii="Arial" w:hAnsi="Arial" w:eastAsia="Arial" w:cs="Arial"/>
      <w:b/>
      <w:bCs/>
      <w:sz w:val="22"/>
      <w:szCs w:val="22"/>
    </w:rPr>
  </w:style>
  <w:style w:type="character" w:styleId="931">
    <w:name w:val="Heading 7 Char"/>
    <w:uiPriority w:val="9"/>
    <w:qFormat/>
    <w:rPr>
      <w:rFonts w:ascii="Arial" w:hAnsi="Arial" w:eastAsia="Arial" w:cs="Arial"/>
      <w:b/>
      <w:bCs/>
      <w:i/>
      <w:iCs/>
      <w:sz w:val="22"/>
      <w:szCs w:val="22"/>
    </w:rPr>
  </w:style>
  <w:style w:type="character" w:styleId="932">
    <w:name w:val="Heading 8 Char"/>
    <w:uiPriority w:val="9"/>
    <w:qFormat/>
    <w:rPr>
      <w:rFonts w:ascii="Arial" w:hAnsi="Arial" w:eastAsia="Arial" w:cs="Arial"/>
      <w:i/>
      <w:iCs/>
      <w:sz w:val="22"/>
      <w:szCs w:val="22"/>
    </w:rPr>
  </w:style>
  <w:style w:type="character" w:styleId="933">
    <w:name w:val="Heading 9 Char"/>
    <w:uiPriority w:val="9"/>
    <w:qFormat/>
    <w:rPr>
      <w:rFonts w:ascii="Arial" w:hAnsi="Arial" w:eastAsia="Arial" w:cs="Arial"/>
      <w:i/>
      <w:iCs/>
      <w:sz w:val="21"/>
      <w:szCs w:val="21"/>
    </w:rPr>
  </w:style>
  <w:style w:type="character" w:styleId="934">
    <w:name w:val="Title Char"/>
    <w:uiPriority w:val="10"/>
    <w:qFormat/>
    <w:rPr>
      <w:sz w:val="48"/>
      <w:szCs w:val="48"/>
    </w:rPr>
  </w:style>
  <w:style w:type="character" w:styleId="935">
    <w:name w:val="Subtitle Char"/>
    <w:uiPriority w:val="11"/>
    <w:qFormat/>
    <w:rPr>
      <w:sz w:val="24"/>
      <w:szCs w:val="24"/>
    </w:rPr>
  </w:style>
  <w:style w:type="character" w:styleId="936">
    <w:name w:val="Quote Char"/>
    <w:uiPriority w:val="29"/>
    <w:qFormat/>
    <w:rPr>
      <w:i/>
    </w:rPr>
  </w:style>
  <w:style w:type="character" w:styleId="937">
    <w:name w:val="Intense Quote Char"/>
    <w:uiPriority w:val="30"/>
    <w:qFormat/>
    <w:rPr>
      <w:i/>
    </w:rPr>
  </w:style>
  <w:style w:type="character" w:styleId="938">
    <w:name w:val="Header Char"/>
    <w:uiPriority w:val="99"/>
    <w:qFormat/>
  </w:style>
  <w:style w:type="character" w:styleId="939">
    <w:name w:val="Footer Char"/>
    <w:uiPriority w:val="99"/>
    <w:qFormat/>
  </w:style>
  <w:style w:type="character" w:styleId="940">
    <w:name w:val="Caption Char"/>
    <w:uiPriority w:val="99"/>
    <w:qFormat/>
  </w:style>
  <w:style w:type="character" w:styleId="941">
    <w:name w:val="Hyperlink"/>
    <w:uiPriority w:val="99"/>
    <w:unhideWhenUsed/>
    <w:rPr>
      <w:color w:val="0000ff" w:themeColor="hyperlink"/>
      <w:u w:val="single"/>
    </w:rPr>
  </w:style>
  <w:style w:type="character" w:styleId="942">
    <w:name w:val="Footnote Text Char"/>
    <w:uiPriority w:val="99"/>
    <w:qFormat/>
    <w:rPr>
      <w:sz w:val="18"/>
    </w:rPr>
  </w:style>
  <w:style w:type="character" w:styleId="943">
    <w:name w:val="Символ сноски"/>
    <w:uiPriority w:val="99"/>
    <w:unhideWhenUsed/>
    <w:qFormat/>
    <w:rPr>
      <w:vertAlign w:val="superscript"/>
    </w:rPr>
  </w:style>
  <w:style w:type="character" w:styleId="944">
    <w:name w:val="footnote reference"/>
    <w:rPr>
      <w:vertAlign w:val="superscript"/>
    </w:rPr>
  </w:style>
  <w:style w:type="character" w:styleId="945">
    <w:name w:val="Endnote Text Char"/>
    <w:uiPriority w:val="99"/>
    <w:qFormat/>
    <w:rPr>
      <w:sz w:val="20"/>
    </w:rPr>
  </w:style>
  <w:style w:type="character" w:styleId="946">
    <w:name w:val="Символ концевой сноски"/>
    <w:uiPriority w:val="99"/>
    <w:semiHidden/>
    <w:unhideWhenUsed/>
    <w:qFormat/>
    <w:rPr>
      <w:vertAlign w:val="superscript"/>
    </w:rPr>
  </w:style>
  <w:style w:type="character" w:styleId="947">
    <w:name w:val="endnote reference"/>
    <w:rPr>
      <w:vertAlign w:val="superscript"/>
    </w:rPr>
  </w:style>
  <w:style w:type="character" w:styleId="948">
    <w:name w:val="Основной шрифт абзаца, Знак Знак1 Знак"/>
    <w:semiHidden/>
    <w:qFormat/>
  </w:style>
  <w:style w:type="character" w:styleId="949">
    <w:name w:val="Заголовок 1 Знак"/>
    <w:qFormat/>
    <w:rPr>
      <w:rFonts w:ascii="Cambria" w:hAnsi="Cambria"/>
      <w:b/>
      <w:bCs/>
      <w:sz w:val="32"/>
      <w:szCs w:val="32"/>
      <w:lang w:val="ru-RU" w:eastAsia="ru-RU" w:bidi="ar-SA"/>
    </w:rPr>
  </w:style>
  <w:style w:type="character" w:styleId="950">
    <w:name w:val="Заголовок 2 Знак"/>
    <w:semiHidden/>
    <w:qFormat/>
    <w:rPr>
      <w:rFonts w:ascii="Cambria" w:hAnsi="Cambria"/>
      <w:b/>
      <w:bCs/>
      <w:i/>
      <w:iCs/>
      <w:sz w:val="28"/>
      <w:szCs w:val="28"/>
      <w:lang w:val="ru-RU" w:eastAsia="ru-RU" w:bidi="ar-SA"/>
    </w:rPr>
  </w:style>
  <w:style w:type="character" w:styleId="951">
    <w:name w:val="Page Number"/>
    <w:basedOn w:val="948"/>
  </w:style>
  <w:style w:type="character" w:styleId="952">
    <w:name w:val="Основной текст с отступом Знак"/>
    <w:qFormat/>
    <w:rPr>
      <w:sz w:val="24"/>
      <w:szCs w:val="24"/>
      <w:lang w:val="ru-RU" w:eastAsia="zh-CN" w:bidi="ar-SA"/>
    </w:rPr>
  </w:style>
  <w:style w:type="character" w:styleId="953">
    <w:name w:val="apple-converted-space"/>
    <w:basedOn w:val="948"/>
    <w:qFormat/>
  </w:style>
  <w:style w:type="character" w:styleId="954">
    <w:name w:val="Нижний колонтитул Знак"/>
    <w:uiPriority w:val="99"/>
    <w:qFormat/>
    <w:rPr>
      <w:sz w:val="24"/>
      <w:szCs w:val="24"/>
    </w:rPr>
  </w:style>
  <w:style w:type="character" w:styleId="955">
    <w:name w:val="Текст выноски Знак"/>
    <w:uiPriority w:val="99"/>
    <w:semiHidden/>
    <w:qFormat/>
    <w:rPr>
      <w:rFonts w:ascii="Tahoma" w:hAnsi="Tahoma" w:cs="Tahoma"/>
      <w:sz w:val="16"/>
      <w:szCs w:val="16"/>
    </w:rPr>
  </w:style>
  <w:style w:type="character" w:styleId="956" w:default="1">
    <w:name w:val="Default Paragraph Font"/>
    <w:uiPriority w:val="1"/>
    <w:semiHidden/>
    <w:unhideWhenUsed/>
    <w:qFormat/>
  </w:style>
  <w:style w:type="paragraph" w:styleId="957">
    <w:name w:val="Заголовок"/>
    <w:basedOn w:val="915"/>
    <w:next w:val="958"/>
    <w:qFormat/>
    <w:pPr>
      <w:keepNext/>
      <w:spacing w:before="240" w:after="120"/>
    </w:pPr>
    <w:rPr>
      <w:rFonts w:ascii="PT Astra Serif" w:hAnsi="PT Astra Serif" w:eastAsia="Arial Unicode MS" w:cs="Arial Unicode MS"/>
      <w:sz w:val="28"/>
      <w:szCs w:val="28"/>
    </w:rPr>
  </w:style>
  <w:style w:type="paragraph" w:styleId="958" w:customStyle="1">
    <w:name w:val="Body Text"/>
    <w:basedOn w:val="915"/>
    <w:uiPriority w:val="99"/>
    <w:pPr>
      <w:ind w:left="0" w:right="0" w:firstLine="0"/>
      <w:jc w:val="left"/>
      <w:keepLines w:val="0"/>
      <w:keepNext w:val="0"/>
      <w:pageBreakBefore w:val="0"/>
      <w:spacing w:before="0" w:beforeAutospacing="0" w:after="0" w:afterAutospacing="0" w:line="240" w:lineRule="auto"/>
      <w:shd w:val="nil"/>
      <w:widowControl/>
    </w:pPr>
    <w:rPr>
      <w:rFonts w:ascii="Times New Roman" w:hAnsi="Times New Roman" w:eastAsia="Times New Roman" w:cs="Times New Roman"/>
      <w:b w:val="0"/>
      <w:bCs w:val="0"/>
      <w:i w:val="0"/>
      <w:iCs w:val="0"/>
      <w:caps w:val="0"/>
      <w:smallCaps w:val="0"/>
      <w:strike w:val="0"/>
      <w:vanish w:val="0"/>
      <w:color w:val="auto"/>
      <w:spacing w:val="0"/>
      <w:position w:val="0"/>
      <w:sz w:val="28"/>
      <w:szCs w:val="20"/>
      <w:u w:val="none"/>
      <w:vertAlign w:val="baseline"/>
      <w:lang w:val="ru-RU" w:eastAsia="ru-RU" w:bidi="ar-SA"/>
      <w14:ligatures w14:val="none"/>
    </w:rPr>
  </w:style>
  <w:style w:type="paragraph" w:styleId="959">
    <w:name w:val="List"/>
    <w:basedOn w:val="958"/>
    <w:rPr>
      <w:rFonts w:ascii="PT Astra Serif" w:hAnsi="PT Astra Serif"/>
    </w:rPr>
  </w:style>
  <w:style w:type="paragraph" w:styleId="960">
    <w:name w:val="Caption"/>
    <w:basedOn w:val="915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paragraph" w:styleId="961">
    <w:name w:val="Указатель"/>
    <w:basedOn w:val="915"/>
    <w:qFormat/>
    <w:pPr>
      <w:suppressLineNumbers/>
    </w:pPr>
    <w:rPr>
      <w:rFonts w:ascii="PT Astra Serif" w:hAnsi="PT Astra Serif"/>
    </w:rPr>
  </w:style>
  <w:style w:type="paragraph" w:styleId="962">
    <w:name w:val="No Spacing"/>
    <w:uiPriority w:val="1"/>
    <w:qFormat/>
    <w:pPr>
      <w:jc w:val="left"/>
      <w:spacing w:before="0" w:after="0" w:line="240" w:lineRule="auto"/>
      <w:widowControl/>
    </w:pPr>
    <w:rPr>
      <w:rFonts w:ascii="Times New Roman" w:hAnsi="Times New Roman" w:eastAsia="Arial Unicode MS" w:cs="Arial Unicode MS"/>
      <w:color w:val="auto"/>
      <w:sz w:val="20"/>
      <w:szCs w:val="20"/>
      <w:lang w:val="ru-RU" w:eastAsia="zh-CN" w:bidi="ar-SA"/>
    </w:rPr>
  </w:style>
  <w:style w:type="paragraph" w:styleId="963">
    <w:name w:val="Title"/>
    <w:basedOn w:val="915"/>
    <w:uiPriority w:val="10"/>
    <w:qFormat/>
    <w:pPr>
      <w:contextualSpacing/>
      <w:spacing w:before="300" w:after="200"/>
    </w:pPr>
    <w:rPr>
      <w:sz w:val="48"/>
      <w:szCs w:val="48"/>
    </w:rPr>
  </w:style>
  <w:style w:type="paragraph" w:styleId="964">
    <w:name w:val="Subtitle"/>
    <w:basedOn w:val="915"/>
    <w:uiPriority w:val="11"/>
    <w:qFormat/>
    <w:pPr>
      <w:spacing w:before="200" w:after="200"/>
    </w:pPr>
    <w:rPr>
      <w:sz w:val="24"/>
      <w:szCs w:val="24"/>
    </w:rPr>
  </w:style>
  <w:style w:type="paragraph" w:styleId="965">
    <w:name w:val="Quote"/>
    <w:basedOn w:val="915"/>
    <w:uiPriority w:val="29"/>
    <w:qFormat/>
    <w:pPr>
      <w:ind w:left="720" w:right="720" w:firstLine="0"/>
    </w:pPr>
    <w:rPr>
      <w:i/>
    </w:rPr>
  </w:style>
  <w:style w:type="paragraph" w:styleId="966">
    <w:name w:val="Intense Quote"/>
    <w:basedOn w:val="915"/>
    <w:uiPriority w:val="30"/>
    <w:qFormat/>
    <w:pPr>
      <w:ind w:left="720" w:right="720" w:firstLine="0"/>
      <w:spacing w:before="0" w:after="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paragraph" w:styleId="967">
    <w:name w:val="Колонтитул"/>
    <w:basedOn w:val="915"/>
    <w:qFormat/>
  </w:style>
  <w:style w:type="paragraph" w:styleId="968">
    <w:name w:val="Header"/>
    <w:basedOn w:val="915"/>
    <w:uiPriority w:val="99"/>
    <w:unhideWhenUsed/>
    <w:pPr>
      <w:tabs>
        <w:tab w:val="clear" w:pos="708" w:leader="none"/>
        <w:tab w:val="center" w:pos="4677" w:leader="none"/>
        <w:tab w:val="right" w:pos="9355" w:leader="none"/>
      </w:tabs>
    </w:pPr>
  </w:style>
  <w:style w:type="paragraph" w:styleId="969">
    <w:name w:val="Footer"/>
    <w:basedOn w:val="915"/>
    <w:uiPriority w:val="99"/>
    <w:unhideWhenUsed/>
    <w:pPr>
      <w:tabs>
        <w:tab w:val="clear" w:pos="708" w:leader="none"/>
        <w:tab w:val="center" w:pos="4677" w:leader="none"/>
        <w:tab w:val="right" w:pos="9355" w:leader="none"/>
      </w:tabs>
    </w:pPr>
    <w:rPr>
      <w:lang w:val="en-US" w:eastAsia="en-US"/>
    </w:rPr>
  </w:style>
  <w:style w:type="paragraph" w:styleId="970">
    <w:name w:val="footnote text"/>
    <w:basedOn w:val="915"/>
    <w:uiPriority w:val="99"/>
    <w:semiHidden/>
    <w:unhideWhenUsed/>
    <w:pPr>
      <w:spacing w:before="0" w:after="40" w:line="240" w:lineRule="auto"/>
    </w:pPr>
    <w:rPr>
      <w:sz w:val="18"/>
    </w:rPr>
  </w:style>
  <w:style w:type="paragraph" w:styleId="971">
    <w:name w:val="endnote text"/>
    <w:basedOn w:val="915"/>
    <w:uiPriority w:val="99"/>
    <w:semiHidden/>
    <w:unhideWhenUsed/>
    <w:pPr>
      <w:spacing w:before="0" w:after="0" w:line="240" w:lineRule="auto"/>
    </w:pPr>
    <w:rPr>
      <w:sz w:val="20"/>
    </w:rPr>
  </w:style>
  <w:style w:type="paragraph" w:styleId="972">
    <w:name w:val="toc 1"/>
    <w:basedOn w:val="915"/>
    <w:uiPriority w:val="39"/>
    <w:unhideWhenUsed/>
    <w:pPr>
      <w:ind w:left="0" w:right="0" w:firstLine="0"/>
      <w:spacing w:before="0" w:after="57"/>
    </w:pPr>
  </w:style>
  <w:style w:type="paragraph" w:styleId="973">
    <w:name w:val="toc 2"/>
    <w:basedOn w:val="915"/>
    <w:uiPriority w:val="39"/>
    <w:unhideWhenUsed/>
    <w:pPr>
      <w:ind w:left="283" w:right="0" w:firstLine="0"/>
      <w:spacing w:before="0" w:after="57"/>
    </w:pPr>
  </w:style>
  <w:style w:type="paragraph" w:styleId="974">
    <w:name w:val="toc 3"/>
    <w:basedOn w:val="915"/>
    <w:uiPriority w:val="39"/>
    <w:unhideWhenUsed/>
    <w:pPr>
      <w:ind w:left="567" w:right="0" w:firstLine="0"/>
      <w:spacing w:before="0" w:after="57"/>
    </w:pPr>
  </w:style>
  <w:style w:type="paragraph" w:styleId="975">
    <w:name w:val="toc 4"/>
    <w:basedOn w:val="915"/>
    <w:uiPriority w:val="39"/>
    <w:unhideWhenUsed/>
    <w:pPr>
      <w:ind w:left="850" w:right="0" w:firstLine="0"/>
      <w:spacing w:before="0" w:after="57"/>
    </w:pPr>
  </w:style>
  <w:style w:type="paragraph" w:styleId="976">
    <w:name w:val="toc 5"/>
    <w:basedOn w:val="915"/>
    <w:uiPriority w:val="39"/>
    <w:unhideWhenUsed/>
    <w:pPr>
      <w:ind w:left="1134" w:right="0" w:firstLine="0"/>
      <w:spacing w:before="0" w:after="57"/>
    </w:pPr>
  </w:style>
  <w:style w:type="paragraph" w:styleId="977">
    <w:name w:val="toc 6"/>
    <w:basedOn w:val="915"/>
    <w:uiPriority w:val="39"/>
    <w:unhideWhenUsed/>
    <w:pPr>
      <w:ind w:left="1417" w:right="0" w:firstLine="0"/>
      <w:spacing w:before="0" w:after="57"/>
    </w:pPr>
  </w:style>
  <w:style w:type="paragraph" w:styleId="978">
    <w:name w:val="toc 7"/>
    <w:basedOn w:val="915"/>
    <w:uiPriority w:val="39"/>
    <w:unhideWhenUsed/>
    <w:pPr>
      <w:ind w:left="1701" w:right="0" w:firstLine="0"/>
      <w:spacing w:before="0" w:after="57"/>
    </w:pPr>
  </w:style>
  <w:style w:type="paragraph" w:styleId="979">
    <w:name w:val="toc 8"/>
    <w:basedOn w:val="915"/>
    <w:uiPriority w:val="39"/>
    <w:unhideWhenUsed/>
    <w:pPr>
      <w:ind w:left="1984" w:right="0" w:firstLine="0"/>
      <w:spacing w:before="0" w:after="57"/>
    </w:pPr>
  </w:style>
  <w:style w:type="paragraph" w:styleId="980">
    <w:name w:val="toc 9"/>
    <w:basedOn w:val="915"/>
    <w:uiPriority w:val="39"/>
    <w:unhideWhenUsed/>
    <w:pPr>
      <w:ind w:left="2268" w:right="0" w:firstLine="0"/>
      <w:spacing w:before="0" w:after="57"/>
    </w:pPr>
  </w:style>
  <w:style w:type="paragraph" w:styleId="981">
    <w:name w:val="Index Heading"/>
    <w:basedOn w:val="957"/>
  </w:style>
  <w:style w:type="paragraph" w:styleId="982">
    <w:name w:val="TOC Heading"/>
    <w:uiPriority w:val="39"/>
    <w:unhideWhenUsed/>
    <w:pPr>
      <w:jc w:val="left"/>
      <w:spacing w:before="0" w:after="0"/>
      <w:widowControl/>
    </w:pPr>
    <w:rPr>
      <w:rFonts w:ascii="Times New Roman" w:hAnsi="Times New Roman" w:eastAsia="Arial Unicode MS" w:cs="Arial Unicode MS"/>
      <w:color w:val="auto"/>
      <w:sz w:val="20"/>
      <w:szCs w:val="20"/>
      <w:lang w:val="ru-RU" w:eastAsia="zh-CN" w:bidi="ar-SA"/>
    </w:rPr>
  </w:style>
  <w:style w:type="paragraph" w:styleId="983">
    <w:name w:val="table of figures"/>
    <w:basedOn w:val="915"/>
    <w:uiPriority w:val="99"/>
    <w:unhideWhenUsed/>
    <w:qFormat/>
    <w:pPr>
      <w:spacing w:before="0" w:after="0" w:afterAutospacing="0"/>
    </w:pPr>
  </w:style>
  <w:style w:type="paragraph" w:styleId="984">
    <w:name w:val="ConsPlusNormal"/>
    <w:qFormat/>
    <w:pPr>
      <w:ind w:firstLine="720"/>
      <w:jc w:val="left"/>
      <w:spacing w:before="0" w:after="0"/>
      <w:widowControl w:val="off"/>
    </w:pPr>
    <w:rPr>
      <w:rFonts w:ascii="Arial" w:hAnsi="Arial" w:eastAsia="Arial Unicode MS" w:cs="Arial"/>
      <w:color w:val="auto"/>
      <w:sz w:val="20"/>
      <w:szCs w:val="20"/>
      <w:lang w:val="ru-RU" w:eastAsia="ru-RU" w:bidi="ar-SA"/>
    </w:rPr>
  </w:style>
  <w:style w:type="paragraph" w:styleId="985">
    <w:name w:val=" Знак Знак1"/>
    <w:basedOn w:val="915"/>
    <w:qFormat/>
    <w:pPr>
      <w:jc w:val="both"/>
      <w:spacing w:beforeAutospacing="1" w:afterAutospacing="1"/>
    </w:pPr>
    <w:rPr>
      <w:rFonts w:ascii="Tahoma" w:hAnsi="Tahoma"/>
      <w:sz w:val="20"/>
      <w:szCs w:val="20"/>
      <w:lang w:val="en-US" w:eastAsia="en-US"/>
    </w:rPr>
  </w:style>
  <w:style w:type="paragraph" w:styleId="986">
    <w:name w:val="List Paragraph"/>
    <w:basedOn w:val="915"/>
    <w:qFormat/>
    <w:pPr>
      <w:ind w:left="720" w:firstLine="0"/>
    </w:pPr>
    <w:rPr>
      <w:rFonts w:ascii="Calibri" w:hAnsi="Calibri" w:cs="Calibri"/>
      <w:lang w:val="en-US" w:eastAsia="zh-CN"/>
    </w:rPr>
  </w:style>
  <w:style w:type="paragraph" w:styleId="987" w:customStyle="1">
    <w:name w:val="Body Text Indent"/>
    <w:basedOn w:val="915"/>
    <w:uiPriority w:val="99"/>
    <w:pPr>
      <w:ind w:left="0" w:right="0" w:firstLine="720"/>
      <w:jc w:val="both"/>
      <w:keepLines w:val="0"/>
      <w:keepNext w:val="0"/>
      <w:pageBreakBefore w:val="0"/>
      <w:spacing w:before="0" w:beforeAutospacing="0" w:after="0" w:afterAutospacing="0" w:line="240" w:lineRule="auto"/>
      <w:shd w:val="nil"/>
      <w:widowControl/>
    </w:pPr>
    <w:rPr>
      <w:rFonts w:ascii="Times New Roman" w:hAnsi="Times New Roman" w:eastAsia="Calibri" w:cs="Times New Roman"/>
      <w:b w:val="0"/>
      <w:bCs w:val="0"/>
      <w:i w:val="0"/>
      <w:iCs w:val="0"/>
      <w:caps w:val="0"/>
      <w:smallCaps w:val="0"/>
      <w:strike w:val="0"/>
      <w:vanish w:val="0"/>
      <w:color w:val="auto"/>
      <w:spacing w:val="0"/>
      <w:position w:val="0"/>
      <w:sz w:val="28"/>
      <w:szCs w:val="20"/>
      <w:u w:val="none"/>
      <w:vertAlign w:val="baseline"/>
      <w:lang w:val="ru-RU" w:eastAsia="ru-RU" w:bidi="ar-SA"/>
      <w14:ligatures w14:val="none"/>
    </w:rPr>
  </w:style>
  <w:style w:type="paragraph" w:styleId="988">
    <w:name w:val="Текст выноски"/>
    <w:basedOn w:val="915"/>
    <w:uiPriority w:val="99"/>
    <w:semiHidden/>
    <w:unhideWhenUsed/>
    <w:qFormat/>
    <w:rPr>
      <w:rFonts w:ascii="Tahoma" w:hAnsi="Tahoma"/>
      <w:sz w:val="16"/>
      <w:szCs w:val="16"/>
      <w:lang w:val="en-US" w:eastAsia="en-US"/>
    </w:rPr>
  </w:style>
  <w:style w:type="paragraph" w:styleId="989">
    <w:name w:val="Обычный (веб)"/>
    <w:basedOn w:val="915"/>
    <w:uiPriority w:val="99"/>
    <w:qFormat/>
    <w:pPr>
      <w:spacing w:beforeAutospacing="1" w:afterAutospacing="1"/>
    </w:pPr>
  </w:style>
  <w:style w:type="paragraph" w:styleId="990">
    <w:name w:val="Без интервала"/>
    <w:uiPriority w:val="1"/>
    <w:qFormat/>
    <w:pPr>
      <w:jc w:val="left"/>
      <w:spacing w:before="0" w:after="200" w:line="276" w:lineRule="auto"/>
      <w:widowControl/>
    </w:pPr>
    <w:rPr>
      <w:rFonts w:ascii="Calibri" w:hAnsi="Calibri" w:eastAsia="Arial Unicode MS" w:cs="Arial Unicode MS"/>
      <w:color w:val="auto"/>
      <w:sz w:val="22"/>
      <w:szCs w:val="22"/>
      <w:lang w:val="ru-RU" w:eastAsia="ru-RU" w:bidi="ar-SA"/>
    </w:rPr>
  </w:style>
  <w:style w:type="paragraph" w:styleId="991">
    <w:name w:val="Содержимое врезки"/>
    <w:basedOn w:val="915"/>
    <w:qFormat/>
  </w:style>
  <w:style w:type="paragraph" w:styleId="992">
    <w:name w:val="Содержимое таблицы"/>
    <w:basedOn w:val="915"/>
    <w:qFormat/>
    <w:pPr>
      <w:widowControl w:val="off"/>
      <w:suppressLineNumbers/>
    </w:pPr>
  </w:style>
  <w:style w:type="paragraph" w:styleId="993">
    <w:name w:val="Заголовок таблицы"/>
    <w:basedOn w:val="992"/>
    <w:qFormat/>
    <w:pPr>
      <w:jc w:val="center"/>
      <w:suppressLineNumbers/>
    </w:pPr>
    <w:rPr>
      <w:b/>
      <w:bCs/>
    </w:rPr>
  </w:style>
  <w:style w:type="numbering" w:styleId="994">
    <w:name w:val="Нет списка"/>
    <w:semiHidden/>
    <w:qFormat/>
  </w:style>
  <w:style w:type="numbering" w:styleId="995" w:default="1">
    <w:name w:val="No List"/>
    <w:uiPriority w:val="99"/>
    <w:semiHidden/>
    <w:unhideWhenUsed/>
    <w:qFormat/>
  </w:style>
  <w:style w:type="table" w:styleId="996" w:default="1">
    <w:name w:val="Normal Table"/>
    <w:uiPriority w:val="99"/>
    <w:semiHidden/>
    <w:unhideWhenUsed/>
    <w:tblPr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header" Target="header1.xml" /><Relationship Id="rId10" Type="http://schemas.openxmlformats.org/officeDocument/2006/relationships/header" Target="header2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_rels/header2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Р7-Офис/2024.1.3.422</Application>
  <Company>Microsoft</Company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dc:description/>
  <dc:language>ru-RU</dc:language>
  <cp:revision>67</cp:revision>
  <dcterms:created xsi:type="dcterms:W3CDTF">2023-02-02T08:54:00Z</dcterms:created>
  <dcterms:modified xsi:type="dcterms:W3CDTF">2025-05-22T02:14:11Z</dcterms:modified>
  <cp:version>786432</cp:version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