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docProps/custom.xml" ContentType="application/vnd.openxmlformats-officedocument.custom-properties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Российская Федерация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Иркутская область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Муниципальное образование «Тайшетский район» </w:t>
      </w:r>
      <w:r>
        <w:rPr>
          <w:b/>
          <w:sz w:val="24"/>
          <w:szCs w:val="24"/>
        </w:rPr>
      </w:r>
      <w:r>
        <w:rPr>
          <w:b/>
          <w:sz w:val="24"/>
          <w:szCs w:val="24"/>
        </w:rPr>
      </w:r>
    </w:p>
    <w:p>
      <w:pPr>
        <w:jc w:val="center"/>
        <w:rPr>
          <w:b/>
          <w:bCs/>
          <w:sz w:val="24"/>
          <w:szCs w:val="24"/>
          <w:highlight w:val="none"/>
        </w:rPr>
      </w:pPr>
      <w:r>
        <w:rPr>
          <w:b/>
          <w:sz w:val="24"/>
          <w:szCs w:val="24"/>
        </w:rPr>
        <w:t xml:space="preserve">Тайшетское муниципальное образование</w:t>
      </w:r>
      <w:r>
        <w:rPr>
          <w:b/>
          <w:sz w:val="24"/>
          <w:szCs w:val="24"/>
        </w:rPr>
      </w:r>
      <w:r>
        <w:rPr>
          <w:b/>
          <w:bCs/>
          <w:sz w:val="24"/>
          <w:szCs w:val="24"/>
          <w:highlight w:val="none"/>
        </w:rPr>
      </w:r>
    </w:p>
    <w:p>
      <w:pPr>
        <w:jc w:val="center"/>
        <w:rPr>
          <w:b/>
          <w:bCs/>
          <w:sz w:val="24"/>
          <w:szCs w:val="24"/>
        </w:rPr>
      </w:pPr>
      <w:r>
        <w:rPr>
          <w:b/>
          <w:sz w:val="24"/>
          <w:szCs w:val="24"/>
          <w:highlight w:val="none"/>
        </w:rPr>
        <w:t xml:space="preserve">«Тайшетское городское поселение»</w:t>
      </w:r>
      <w:r>
        <w:rPr>
          <w:b/>
          <w:sz w:val="24"/>
          <w:szCs w:val="24"/>
          <w:highlight w:val="none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</w:t>
      </w:r>
      <w:r>
        <w:rPr>
          <w:b/>
          <w:sz w:val="28"/>
          <w:szCs w:val="28"/>
        </w:rPr>
        <w:t xml:space="preserve"> ТАЙШЕТСКОГО ГОРОДСКОГО ПОСЕЛЕНИЯ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А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В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Л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Е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Н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И</w:t>
      </w: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Е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  <w:t xml:space="preserve">От 22.05.2025г.</w:t>
        <w:tab/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г.Тайшет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№412</w:t>
      </w:r>
      <w:r>
        <w:rPr>
          <w:sz w:val="24"/>
          <w:szCs w:val="24"/>
        </w:rPr>
      </w:r>
    </w:p>
    <w:p>
      <w:pPr>
        <w:tabs>
          <w:tab w:val="left" w:pos="980" w:leader="none"/>
        </w:tabs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right="4989" w:firstLine="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О внесение изменений в техническое задание</w:t>
      </w:r>
      <w:r>
        <w:rPr>
          <w:sz w:val="24"/>
          <w:szCs w:val="24"/>
        </w:rPr>
        <w:t xml:space="preserve"> на разработку инвестиционной программы </w:t>
      </w:r>
      <w:r>
        <w:rPr>
          <w:sz w:val="24"/>
          <w:szCs w:val="24"/>
        </w:rPr>
      </w:r>
      <w:r>
        <w:rPr>
          <w:sz w:val="24"/>
          <w:szCs w:val="24"/>
        </w:rPr>
        <w:t xml:space="preserve">ООО «Водоресурс</w:t>
      </w:r>
      <w:r>
        <w:rPr>
          <w:sz w:val="24"/>
          <w:szCs w:val="24"/>
        </w:rPr>
        <w:t xml:space="preserve">» </w:t>
      </w: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709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В целях корректировки показателей технического задания на разработку </w:t>
      </w:r>
      <w:r>
        <w:rPr>
          <w:sz w:val="24"/>
          <w:szCs w:val="24"/>
        </w:rPr>
        <w:t xml:space="preserve">инвестиционной программы </w:t>
      </w:r>
      <w:r>
        <w:rPr>
          <w:sz w:val="24"/>
          <w:szCs w:val="24"/>
        </w:rPr>
        <w:t xml:space="preserve">ООО «Водоресурс</w:t>
      </w:r>
      <w:r>
        <w:rPr>
          <w:sz w:val="24"/>
          <w:szCs w:val="24"/>
        </w:rPr>
        <w:t xml:space="preserve">»,</w:t>
      </w:r>
      <w:r>
        <w:rPr>
          <w:sz w:val="24"/>
          <w:szCs w:val="24"/>
        </w:rPr>
        <w:t xml:space="preserve"> руководствуясь ста</w:t>
      </w:r>
      <w:r>
        <w:rPr>
          <w:sz w:val="24"/>
          <w:szCs w:val="24"/>
        </w:rPr>
        <w:t xml:space="preserve">тьей 17 Федерального закона от 06 октября 2003 года №131-ФЗ «Об общих принципах организации местного самоуправления в Российской Федерации», Федеральным законом от 07 декабря 2011 года №416-ФЗ «О водоснабжении и водоотведении», постановлением Правительств</w:t>
      </w:r>
      <w:r>
        <w:rPr>
          <w:sz w:val="24"/>
          <w:szCs w:val="24"/>
        </w:rPr>
        <w:t xml:space="preserve">а Российской Федерации от 29 июля 2013 года №641 «Об инвестиционных и производственных программах организаций, осуществляющих деятельность в сфере водоснабжения и водоотведения»</w:t>
      </w:r>
      <w:r>
        <w:rPr>
          <w:sz w:val="24"/>
          <w:szCs w:val="24"/>
        </w:rPr>
        <w:t xml:space="preserve">,</w:t>
      </w:r>
      <w:r>
        <w:rPr>
          <w:sz w:val="24"/>
          <w:szCs w:val="24"/>
        </w:rPr>
        <w:t xml:space="preserve">Уставом Тайшетского муниципального образования «Тайшетское городское поселение», администрация Тайшетского городского поселения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1103"/>
        <w:ind w:right="-186"/>
        <w:rPr>
          <w:b/>
          <w:szCs w:val="28"/>
        </w:rPr>
      </w:pPr>
      <w:r>
        <w:rPr>
          <w:b/>
          <w:szCs w:val="28"/>
        </w:rPr>
        <w:t xml:space="preserve">П О С Т А Н О В Л Я Е Т:</w:t>
      </w:r>
      <w:r>
        <w:rPr>
          <w:b/>
          <w:szCs w:val="28"/>
        </w:rPr>
      </w:r>
      <w:r>
        <w:rPr>
          <w:b/>
          <w:szCs w:val="28"/>
        </w:rPr>
      </w:r>
    </w:p>
    <w:p>
      <w:pPr>
        <w:ind w:firstLine="709"/>
        <w:jc w:val="both"/>
        <w:tabs>
          <w:tab w:val="left" w:pos="4500" w:leader="none"/>
          <w:tab w:val="left" w:pos="4680" w:leader="none"/>
          <w:tab w:val="left" w:pos="5220" w:leader="none"/>
        </w:tabs>
        <w:rPr>
          <w:szCs w:val="24"/>
        </w:rPr>
      </w:pPr>
      <w:r>
        <w:rPr>
          <w:szCs w:val="24"/>
        </w:rPr>
      </w:r>
      <w:r>
        <w:rPr>
          <w:szCs w:val="24"/>
        </w:rPr>
      </w:r>
      <w:r>
        <w:rPr>
          <w:szCs w:val="24"/>
        </w:rPr>
      </w:r>
    </w:p>
    <w:p>
      <w:pPr>
        <w:ind w:firstLine="720"/>
        <w:jc w:val="both"/>
        <w:rPr>
          <w:b/>
          <w:bCs/>
          <w:sz w:val="24"/>
          <w:szCs w:val="24"/>
          <w:highlight w:val="white"/>
        </w:rPr>
        <w:suppressLineNumbers w:val="0"/>
      </w:pPr>
      <w:r>
        <w:rPr>
          <w:sz w:val="24"/>
          <w:szCs w:val="24"/>
        </w:rPr>
        <w:t xml:space="preserve">1. Внести изменения в техническое задание на разработку инвестиционной программы </w:t>
      </w:r>
      <w:r>
        <w:rPr>
          <w:sz w:val="24"/>
          <w:szCs w:val="24"/>
        </w:rPr>
        <w:t xml:space="preserve">ООО «Водоресурс</w:t>
      </w:r>
      <w:r>
        <w:rPr>
          <w:sz w:val="24"/>
          <w:szCs w:val="24"/>
        </w:rPr>
        <w:t xml:space="preserve">»</w:t>
      </w:r>
      <w:r>
        <w:rPr>
          <w:sz w:val="24"/>
          <w:szCs w:val="24"/>
        </w:rPr>
        <w:t xml:space="preserve">, утвержденное постановлением администрации Тайшетского городского поселения от 27 марта 2025 года №</w:t>
      </w:r>
      <w:r>
        <w:rPr>
          <w:b w:val="0"/>
          <w:bCs w:val="0"/>
          <w:sz w:val="24"/>
          <w:szCs w:val="24"/>
          <w:highlight w:val="none"/>
        </w:rPr>
        <w:t xml:space="preserve">249 изложив его в новой редакции ( прилагается)</w:t>
      </w:r>
      <w:r>
        <w:rPr>
          <w:b/>
          <w:bCs/>
          <w:sz w:val="24"/>
          <w:szCs w:val="24"/>
          <w:highlight w:val="white"/>
        </w:rPr>
      </w:r>
      <w:r>
        <w:rPr>
          <w:b/>
          <w:bCs/>
          <w:sz w:val="24"/>
          <w:szCs w:val="24"/>
          <w:highlight w:val="white"/>
        </w:rPr>
      </w:r>
    </w:p>
    <w:p>
      <w:pPr>
        <w:ind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2. Начальнику отдела по организационной работе, контролю и делопроизводству администрации Тайшетского городского поселения В.Д. Бычковой обеспечить опубликование настоящего постановления в бюллетене «Вестник Тайшетского городского поселения»</w:t>
      </w:r>
      <w:r>
        <w:rPr>
          <w:color w:val="22272f"/>
          <w:sz w:val="24"/>
          <w:szCs w:val="24"/>
        </w:rPr>
        <w:t xml:space="preserve"> и размещение на официальном сайте </w:t>
      </w:r>
      <w:r>
        <w:rPr>
          <w:sz w:val="24"/>
          <w:szCs w:val="24"/>
        </w:rPr>
        <w:t xml:space="preserve">администрации Тайшетского городского поселения в информационно-телекоммуникационной сети «Интернет»</w:t>
      </w:r>
      <w:r>
        <w:rPr>
          <w:color w:val="22272f"/>
          <w:sz w:val="24"/>
          <w:szCs w:val="24"/>
        </w:rPr>
        <w:t xml:space="preserve">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ind w:firstLine="720"/>
        <w:jc w:val="both"/>
        <w:rPr>
          <w:sz w:val="24"/>
          <w:szCs w:val="24"/>
        </w:rPr>
        <w:suppressLineNumbers w:val="0"/>
      </w:pPr>
      <w:r>
        <w:rPr>
          <w:sz w:val="24"/>
          <w:szCs w:val="24"/>
        </w:rPr>
        <w:t xml:space="preserve">3. Контроль за исполнением настоящего постановления возложить на заместителя главы Тайшетского городского поселения В.В.Захарича.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Глава Тайшетского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rPr>
          <w:sz w:val="24"/>
          <w:szCs w:val="24"/>
        </w:rPr>
      </w:pPr>
      <w:r>
        <w:rPr>
          <w:sz w:val="24"/>
          <w:szCs w:val="24"/>
        </w:rPr>
        <w:t xml:space="preserve">городского поселения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Р.О.Леоненко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1132"/>
        <w:ind w:firstLine="0"/>
        <w:jc w:val="left"/>
        <w:tabs>
          <w:tab w:val="left" w:pos="720" w:leader="none"/>
        </w:tabs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1132"/>
        <w:ind w:firstLine="0"/>
        <w:jc w:val="left"/>
        <w:tabs>
          <w:tab w:val="left" w:pos="720" w:leader="none"/>
        </w:tabs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1132"/>
        <w:ind w:firstLine="0"/>
        <w:jc w:val="left"/>
        <w:tabs>
          <w:tab w:val="left" w:pos="720" w:leader="none"/>
        </w:tabs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1132"/>
        <w:ind w:firstLine="0"/>
        <w:jc w:val="left"/>
        <w:tabs>
          <w:tab w:val="left" w:pos="720" w:leader="none"/>
        </w:tabs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1132"/>
        <w:ind w:firstLine="0"/>
        <w:jc w:val="left"/>
        <w:tabs>
          <w:tab w:val="left" w:pos="720" w:leader="none"/>
        </w:tabs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1132"/>
        <w:ind w:firstLine="0"/>
        <w:jc w:val="left"/>
        <w:tabs>
          <w:tab w:val="left" w:pos="720" w:leader="none"/>
        </w:tabs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1132"/>
        <w:ind w:firstLine="0"/>
        <w:jc w:val="left"/>
        <w:tabs>
          <w:tab w:val="left" w:pos="720" w:leader="none"/>
        </w:tabs>
        <w:rPr>
          <w:sz w:val="24"/>
          <w:szCs w:val="24"/>
        </w:rPr>
      </w:pPr>
      <w:r>
        <w:rPr>
          <w:sz w:val="24"/>
          <w:szCs w:val="24"/>
        </w:rPr>
        <w:t xml:space="preserve">Исп.: Крюк.В.И.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1132"/>
        <w:ind w:firstLine="0"/>
        <w:jc w:val="left"/>
        <w:tabs>
          <w:tab w:val="left" w:pos="720" w:leader="none"/>
        </w:tabs>
        <w:rPr>
          <w:sz w:val="24"/>
          <w:szCs w:val="24"/>
          <w:highlight w:val="none"/>
        </w:rPr>
      </w:pPr>
      <w:r>
        <w:rPr>
          <w:sz w:val="24"/>
          <w:szCs w:val="24"/>
        </w:rPr>
        <w:t xml:space="preserve">тел. 2-04-27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pStyle w:val="1060"/>
        <w:ind w:left="4395" w:firstLine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Приложение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106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к постановлению администрации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106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Тайшетского городского поселения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1060"/>
        <w:ind w:left="4395" w:firstLine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от 22 мая 2025 года №412</w:t>
      </w:r>
      <w:r>
        <w:rPr>
          <w:sz w:val="24"/>
          <w:szCs w:val="24"/>
        </w:rPr>
      </w:r>
    </w:p>
    <w:p>
      <w:pPr>
        <w:pStyle w:val="1060"/>
        <w:ind w:firstLine="0"/>
        <w:jc w:val="center"/>
        <w:rPr>
          <w:b w:val="0"/>
          <w:bCs w:val="0"/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left="850" w:right="850" w:firstLine="0"/>
        <w:jc w:val="center"/>
        <w:spacing w:after="0" w:line="57" w:lineRule="atLeast"/>
        <w:rPr>
          <w:b/>
          <w:bCs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 xml:space="preserve">«ТЕХНИЧЕСКОЕ ЗАДАНИЕ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ind w:left="850" w:right="850" w:firstLine="0"/>
        <w:jc w:val="center"/>
        <w:spacing w:after="0" w:line="57" w:lineRule="atLeast"/>
        <w:rPr>
          <w:b/>
          <w:bCs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 xml:space="preserve">на разработку инвестиционной программы ООО «Водоресурс» «Строительство, реконструкция</w:t>
      </w:r>
      <w:r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</w:r>
      <w:r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  <w:t xml:space="preserve">и модернизация объектов централизованной системы холодного водоснабжения на территории Тайшетского городского городского поселения на 2025-2028 годы»</w:t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  <w:r>
        <w:rPr>
          <w:b/>
          <w:bCs/>
          <w:sz w:val="24"/>
          <w:szCs w:val="24"/>
        </w:rPr>
      </w:r>
    </w:p>
    <w:p>
      <w:pPr>
        <w:ind w:left="0" w:right="0" w:firstLine="0"/>
        <w:jc w:val="center"/>
        <w:spacing w:after="0" w:line="57" w:lineRule="atLeast"/>
        <w:rPr>
          <w:sz w:val="16"/>
          <w:szCs w:val="16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16"/>
          <w:szCs w:val="16"/>
        </w:rPr>
      </w:r>
      <w:r>
        <w:rPr>
          <w:sz w:val="16"/>
          <w:szCs w:val="16"/>
        </w:rPr>
      </w:r>
    </w:p>
    <w:tbl>
      <w:tblPr>
        <w:tblStyle w:val="934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2126"/>
        <w:gridCol w:w="7001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126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Заказчик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7001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Администрация Тайшетского городского поселения</w:t>
            </w:r>
            <w:r/>
            <w:r/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126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Исполнитель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7001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ООО «Водоресурс».</w:t>
            </w:r>
            <w:r/>
            <w:r/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126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Координатор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7001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Отдел жилищно–коммунального хозяйства администрации Тайшетского городского поселения</w:t>
            </w:r>
            <w:r/>
            <w:r/>
            <w:r/>
            <w:r/>
            <w:r/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126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Предмет технического</w:t>
            </w:r>
            <w:r/>
          </w:p>
          <w:p>
            <w:pPr>
              <w:ind w:left="57" w:right="57" w:firstLine="0"/>
              <w:jc w:val="both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задания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7001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after="0" w:line="240" w:lineRule="auto"/>
              <w:shd w:val="clear" w:color="ffffff" w:fill="ffffff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Разработка мероприятий по строительству, реконструкции, модернизации объектов централизованной системы холодного водоснабжения, </w:t>
            </w:r>
            <w:r>
              <w:rPr>
                <w:rFonts w:ascii="Times New Roman" w:hAnsi="Times New Roman" w:eastAsia="Times New Roman" w:cs="Times New Roman"/>
                <w:color w:val="000000"/>
                <w:spacing w:val="2"/>
                <w:sz w:val="24"/>
              </w:rPr>
              <w:t xml:space="preserve">бесперебойное снабжение магистрального водовода питьевой водой, отвечающей требованиям норматива качества, повышение энергетической эффективности оборудования.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Обеспечение надежного, качественного и доступного предоставления услуги по холодному водоснабжению.</w:t>
            </w:r>
            <w:r/>
            <w:r/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126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Основания для разработки</w:t>
            </w:r>
            <w:r/>
          </w:p>
          <w:p>
            <w:pPr>
              <w:ind w:left="57" w:right="57" w:firstLine="0"/>
              <w:jc w:val="both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инвестиционной программы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7001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Федеральный закон от 07 декабря 2011 года №416-ФЗ «О водоснабжении и водоотведении»;</w:t>
            </w:r>
            <w:r/>
          </w:p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Постановление Правительства Российской Федерации от 13 мая 2013 года №406 «О государственном регулировании тарифов в сфере водоснабжения и водоотведения»;</w:t>
            </w:r>
            <w:r/>
          </w:p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Постановление Правительства Российской Федерации от 29 июля 2013 года №641 «Об инвестиционных и производственных программах организаций, осуществляющих деятельность в сфере водоснабжения и водоотведения»;</w:t>
            </w:r>
            <w:r/>
          </w:p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Постановление Правительства Российской Федерации от 05 сентября 2013 года №782 «О схемах водоснабжения и водоотведения»;</w:t>
            </w:r>
            <w:r/>
          </w:p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Приказ Министерства Регионального развития Российской Федерации от 10 октября 2007 года №100 «Об утверждении методических рекомендаций по подготовке технических заданий по разработке инвестиционных программ организаций коммунального комплекса»;</w:t>
            </w:r>
            <w:r/>
          </w:p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Приказ Министерства регионального развития Российской Федерации от 10 октября 2007 года №99 «Об утверждении методических рекомендаций по разработке инвестиционных программ организаций коммунального комплекса»;</w:t>
            </w:r>
            <w:r/>
          </w:p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Постановление Правительства Российской Федерации от 29 июля 2013 года №644 «Об утверждении правил холодного водоснабжения и водоотведения и о внесении изменений в некоторые акты Правительства Российской Федерации»;</w:t>
            </w:r>
            <w:r/>
          </w:p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Градостроительный кодекс Российской Федерации от 29 декабря 2004 года №190-ФЗ;</w:t>
            </w:r>
            <w:r/>
          </w:p>
          <w:p>
            <w:pPr>
              <w:ind w:left="57" w:right="57" w:firstLine="0"/>
              <w:jc w:val="both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Схема водоснабжения схема водоснабжения и водоотведения Тайшетского муниципального образования «Тайшетское городское поселение» на период с 2023 по 2041 годы утвержденная постановлением администрации Тайшетского городского поселения от 27 июня 2023 года № 55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9.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highlight w:val="none"/>
              </w:rPr>
            </w:r>
            <w:r/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126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Цели разработки инвести</w:t>
            </w:r>
            <w:r/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ционной программы</w:t>
            </w: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7001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Развитие системы централизованного водоснабжения и обеспечение надежности водоснабжения населения в Тайшетском городском поселении.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highlight w:val="yellow"/>
              </w:rPr>
            </w:r>
            <w:r/>
          </w:p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Улучшение работы системы водоснабжения.</w:t>
            </w:r>
            <w:r/>
          </w:p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Повышение качества питьевой воды по радиологическим показателям.</w:t>
            </w:r>
            <w:r/>
          </w:p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highlight w:val="white"/>
              </w:rPr>
              <w:t xml:space="preserve">Обеспечение подключения вновь строящихся (реконструируемых) объектов капитального строительства к системам водоснабжения с гарантированным объемом заявленных мощностей.</w:t>
            </w:r>
            <w:r/>
          </w:p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Обеспечение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highlight w:val="white"/>
              </w:rPr>
              <w:t xml:space="preserve">рационального использования энергоресурсов, направленных на сокращение объемов потерь при подъеме и передаче (транспортировке) воды.</w:t>
            </w:r>
            <w:r/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highlight w:val="none"/>
              </w:rPr>
            </w:r>
            <w:r/>
            <w:r>
              <w:rPr>
                <w:rFonts w:ascii="Times New Roman" w:hAnsi="Times New Roman" w:eastAsia="Times New Roman" w:cs="Times New Roman"/>
                <w:color w:val="000000"/>
                <w:sz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highlight w:val="none"/>
              </w:rPr>
            </w:r>
            <w:r/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126" w:type="dxa"/>
            <w:vAlign w:val="center"/>
            <w:textDirection w:val="lrTb"/>
            <w:noWrap w:val="false"/>
          </w:tcPr>
          <w:p>
            <w:pPr>
              <w:ind w:left="57" w:right="57" w:firstLine="0"/>
              <w:jc w:val="both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Срок разработки и представления инвестиционной программы</w:t>
            </w:r>
            <w:r/>
            <w:r/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7001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 течение 3-х месяцев с момента утверждения технического задания на разработку инвестиционной программы.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2126" w:type="dxa"/>
            <w:vAlign w:val="center"/>
            <w:textDirection w:val="lrTb"/>
            <w:noWrap w:val="false"/>
          </w:tcPr>
          <w:p>
            <w:pPr>
              <w:ind w:left="57" w:right="57" w:firstLine="0"/>
              <w:jc w:val="both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Срок реализации инвестиционной программы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7001" w:type="dxa"/>
            <w:vAlign w:val="top"/>
            <w:textDirection w:val="lrTb"/>
            <w:noWrap w:val="false"/>
          </w:tcPr>
          <w:p>
            <w:pPr>
              <w:ind w:left="57" w:right="57" w:firstLine="0"/>
              <w:jc w:val="both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2025- 2028 годы.</w:t>
            </w:r>
            <w:r/>
          </w:p>
        </w:tc>
      </w:tr>
    </w:tbl>
    <w:p>
      <w:pPr>
        <w:ind w:left="0" w:right="0" w:firstLine="0"/>
        <w:jc w:val="center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</w:rPr>
      </w:r>
      <w:r/>
    </w:p>
    <w:p>
      <w:pPr>
        <w:ind w:left="0" w:right="0" w:firstLine="0"/>
        <w:jc w:val="center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/>
          <w:color w:val="000000"/>
          <w:sz w:val="24"/>
        </w:rPr>
        <w:t xml:space="preserve">Содержание Технического задания</w:t>
      </w:r>
      <w:r/>
    </w:p>
    <w:p>
      <w:pPr>
        <w:ind w:left="0" w:right="0" w:firstLine="0"/>
        <w:jc w:val="center"/>
        <w:spacing w:after="0" w:line="240" w:lineRule="auto"/>
        <w:rPr>
          <w:sz w:val="16"/>
          <w:szCs w:val="16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16"/>
          <w:szCs w:val="16"/>
        </w:rPr>
      </w:r>
      <w:r>
        <w:rPr>
          <w:sz w:val="16"/>
          <w:szCs w:val="16"/>
        </w:rPr>
      </w:r>
    </w:p>
    <w:p>
      <w:pPr>
        <w:pStyle w:val="1061"/>
        <w:ind w:left="850" w:right="0" w:firstLine="0"/>
        <w:jc w:val="center"/>
        <w:spacing w:before="0" w:after="0" w:line="240" w:lineRule="auto"/>
        <w:rPr>
          <w:rFonts w:ascii="Times New Roman" w:hAnsi="Times New Roman" w:cs="Times New Roman"/>
          <w:b w:val="0"/>
          <w:bCs w:val="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I. Основание для разработки инвестиционной программы</w:t>
      </w: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</w:p>
    <w:p>
      <w:pPr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1.1. Федеральный закон от 07 декабря 2011 года №416-ФЗ «О водоснабжении и водоотведении»;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1.2. Постановление Правительства Российской Федерации от 13 мая 2013 года №406 «О государственном регулировании тарифов в сфере водоснабжения и водоотведения»;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1.3. Постановление Правительства Российской Федерации от 29 июля 2013 года №641 «Об инвестиционных и производственных программах организаций, осуществляющих деятельность в сфере водоснабжения и водоотведения»;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1.4. Постановление Правительства Российской Федерации от 05 сентября 2013 года №782 «О схемах водоснабжения и водоотведения»;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1.5. Приказ Министерства Регионального развития Российской Федерации от 10 октября 2007 года №100 «Об утверждении методических рекомендаций по подготовке технических заданий по разработке инвестиционных программ организаций коммунального комплекса»;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1.6. Приказ Министерства регионального развития Российской Федерации от 10 октября 2007 года №99 «Об утверждении методических рекомендаций по разработке инвестиционных программ организаций коммунального комплекса»;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1.7. Постановление Правительства Российской Федерации от 29 июля 2013 года №644 «Об утверждении правил холодного водоснабжения и водоотведения и о внесении изменений в некоторые акты Правительства Российской Федерации»;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1.8. Градостроительный кодекс Российской Федерации от 29 декабря 2004 года №190-ФЗ;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1131"/>
        <w:ind w:left="0" w:firstLine="720"/>
        <w:jc w:val="both"/>
        <w:spacing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1.9. Схема водоснабжения и водоотведения Тайшетского муниципального образования «Тайшетское городское поселение» на период с 2023 по 2041 годы утвержденная постановлением администрации Тайшетского городского поселения от 27 июня 2023 года № 559.</w:t>
      </w:r>
      <w:r>
        <w:rPr>
          <w:rFonts w:ascii="Times New Roman" w:hAnsi="Times New Roman" w:eastAsia="Times New Roman" w:cs="Times New Roman"/>
          <w:sz w:val="24"/>
          <w:szCs w:val="24"/>
          <w:highlight w:val="none"/>
          <w:lang w:val="ru-RU"/>
        </w:rPr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ind w:left="0" w:right="0" w:firstLine="0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sz w:val="24"/>
        </w:rPr>
      </w:r>
      <w:r/>
    </w:p>
    <w:p>
      <w:pPr>
        <w:ind w:left="0" w:right="0" w:firstLine="0"/>
        <w:jc w:val="center"/>
        <w:spacing w:after="0" w:line="240" w:lineRule="auto"/>
        <w:rPr>
          <w:b w:val="0"/>
          <w:bCs w:val="0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</w:rPr>
        <w:t xml:space="preserve">II. Цели и задачи разработки и реализации </w:t>
      </w:r>
      <w:r>
        <w:rPr>
          <w:b w:val="0"/>
          <w:bCs w:val="0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</w:rPr>
        <w:t xml:space="preserve">инвестиционной программы</w:t>
      </w:r>
      <w:r>
        <w:rPr>
          <w:b w:val="0"/>
          <w:bCs w:val="0"/>
        </w:rPr>
      </w:r>
      <w:r>
        <w:rPr>
          <w:b w:val="0"/>
          <w:bCs w:val="0"/>
        </w:rPr>
      </w:r>
    </w:p>
    <w:p>
      <w:pPr>
        <w:ind w:left="0" w:right="0" w:firstLine="0"/>
        <w:jc w:val="center"/>
        <w:spacing w:after="0" w:line="240" w:lineRule="auto"/>
        <w:rPr>
          <w:b w:val="0"/>
          <w:bCs w:val="0"/>
          <w:sz w:val="16"/>
          <w:szCs w:val="16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b w:val="0"/>
          <w:bCs w:val="0"/>
          <w:sz w:val="16"/>
          <w:szCs w:val="16"/>
          <w:highlight w:val="none"/>
        </w:rPr>
      </w:r>
      <w:r>
        <w:rPr>
          <w:b w:val="0"/>
          <w:bCs w:val="0"/>
          <w:sz w:val="16"/>
          <w:szCs w:val="16"/>
        </w:rPr>
      </w:r>
    </w:p>
    <w:p>
      <w:pPr>
        <w:ind w:left="0" w:right="0" w:firstLine="709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2.1. Основные цели разработки инвестиционной программы «Строительство, реконструкция и модернизация объектов централизованной системы холодного водоснабжения на территории Тайшетского городского поселения на 2025-2028 годы», (далее – </w:t>
      </w:r>
      <w:r>
        <w:rPr>
          <w:rFonts w:ascii="Times New Roman" w:hAnsi="Times New Roman" w:eastAsia="Times New Roman" w:cs="Times New Roman"/>
          <w:color w:val="000000"/>
          <w:sz w:val="24"/>
        </w:rPr>
        <w:t xml:space="preserve">инвестиционная программа):</w:t>
      </w:r>
      <w:r/>
    </w:p>
    <w:p>
      <w:pPr>
        <w:ind w:left="0" w:right="0" w:firstLine="709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2.1.1. Развитие системы централизованного водоснабжения и обеспечение надежности водоснабжения населения в Тайшетском городском поселении</w:t>
      </w:r>
      <w:r/>
    </w:p>
    <w:p>
      <w:pPr>
        <w:ind w:left="0" w:right="0" w:firstLine="709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2.1.2. Улучшение работы системы водоснабжения.</w:t>
      </w:r>
      <w:r/>
    </w:p>
    <w:p>
      <w:pPr>
        <w:ind w:left="0" w:right="0" w:firstLine="709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2.1.3. Повышение качества питьевой воды по радиологическим показателям.</w:t>
      </w:r>
      <w:r/>
    </w:p>
    <w:p>
      <w:pPr>
        <w:ind w:left="0" w:right="0" w:firstLine="0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2.1.4.</w:t>
      </w:r>
      <w:r>
        <w:rPr>
          <w:rFonts w:ascii="Times New Roman" w:hAnsi="Times New Roman" w:eastAsia="Times New Roman" w:cs="Times New Roman"/>
          <w:color w:val="000000"/>
          <w:sz w:val="24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4"/>
          <w:highlight w:val="white"/>
        </w:rPr>
        <w:t xml:space="preserve">Обеспечение подключения вновь строящихся (реконструируемых) объектов капитального строительства к системам водоснабжения с гарантированным объемом заявленных мощностей.</w:t>
      </w:r>
      <w:r/>
    </w:p>
    <w:p>
      <w:pPr>
        <w:ind w:left="0" w:right="0" w:firstLine="709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2.1.5. Обеспечение</w:t>
      </w:r>
      <w:r>
        <w:rPr>
          <w:rFonts w:ascii="Times New Roman" w:hAnsi="Times New Roman" w:eastAsia="Times New Roman" w:cs="Times New Roman"/>
          <w:color w:val="000000"/>
          <w:sz w:val="24"/>
          <w:highlight w:val="none"/>
        </w:rPr>
        <w:t xml:space="preserve"> </w:t>
      </w:r>
      <w:r>
        <w:rPr>
          <w:rFonts w:ascii="Times New Roman" w:hAnsi="Times New Roman" w:eastAsia="Times New Roman" w:cs="Times New Roman"/>
          <w:color w:val="000000"/>
          <w:sz w:val="24"/>
          <w:highlight w:val="white"/>
        </w:rPr>
        <w:t xml:space="preserve">рационального использования энергоресурсов, направленных на сокращение объемов потерь при подъеме и передаче (транспортировке) воды</w:t>
      </w:r>
      <w:r/>
    </w:p>
    <w:p>
      <w:pPr>
        <w:ind w:left="0" w:right="0" w:firstLine="709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  <w:highlight w:val="white"/>
        </w:rPr>
        <w:t xml:space="preserve">2.1.6. Обеспечение экологической безопасности природных ресурсов.</w:t>
      </w:r>
      <w:r>
        <w:rPr>
          <w:rFonts w:ascii="Times New Roman" w:hAnsi="Times New Roman" w:eastAsia="Times New Roman" w:cs="Times New Roman"/>
          <w:sz w:val="24"/>
        </w:rPr>
      </w:r>
      <w:r/>
    </w:p>
    <w:p>
      <w:pPr>
        <w:ind w:left="0" w:right="0" w:firstLine="709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Реализация мероприятий инвестиционной программы положительно скажется на эксплуатационных показателях системы водоснабжения, в результате чего ожидается улучшение целевых показателей: </w:t>
      </w:r>
      <w:r/>
    </w:p>
    <w:p>
      <w:pPr>
        <w:ind w:left="0" w:right="0" w:firstLine="709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повышение качества услуг водоснабжения;</w:t>
      </w:r>
      <w:r/>
    </w:p>
    <w:p>
      <w:pPr>
        <w:ind w:left="0" w:right="0" w:firstLine="709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доведение качества питьевой воды до требований уровня, соответствующего государственному стандарту;</w:t>
      </w:r>
      <w:r>
        <w:rPr>
          <w:rFonts w:ascii="Times New Roman" w:hAnsi="Times New Roman" w:eastAsia="Times New Roman" w:cs="Times New Roman"/>
          <w:color w:val="000000"/>
          <w:sz w:val="24"/>
        </w:rPr>
      </w:r>
      <w:r/>
    </w:p>
    <w:p>
      <w:pPr>
        <w:ind w:left="0" w:right="0" w:firstLine="709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Плановые показатели развития системы централизованного водоснабжения по показателям радиационной безопасности представлены в таблице 1.</w:t>
      </w:r>
      <w:r/>
    </w:p>
    <w:p>
      <w:pPr>
        <w:ind w:left="0" w:right="0" w:firstLine="0"/>
        <w:jc w:val="right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Таблица 1</w:t>
      </w:r>
      <w:r>
        <w:rPr>
          <w:rFonts w:ascii="Times New Roman" w:hAnsi="Times New Roman" w:eastAsia="Times New Roman" w:cs="Times New Roman"/>
          <w:b/>
          <w:color w:val="000000"/>
          <w:sz w:val="24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</w:p>
    <w:p>
      <w:pPr>
        <w:ind w:left="0" w:right="0" w:firstLine="0"/>
        <w:jc w:val="center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Плановые показатели развития системы централизованного водоснабжения.</w:t>
      </w:r>
      <w:r/>
    </w:p>
    <w:tbl>
      <w:tblPr>
        <w:tblStyle w:val="934"/>
        <w:tblW w:w="0" w:type="auto"/>
        <w:tblInd w:w="0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4427"/>
        <w:gridCol w:w="582"/>
        <w:gridCol w:w="1263"/>
        <w:gridCol w:w="698"/>
        <w:gridCol w:w="698"/>
        <w:gridCol w:w="698"/>
        <w:gridCol w:w="597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92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№ п/п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7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Наименование показателя</w:t>
            </w:r>
            <w:r/>
          </w:p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582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Ед. изм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63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Показатель бк/кг </w:t>
            </w:r>
            <w:r/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А-актвность</w:t>
            </w: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98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2025</w:t>
            </w:r>
            <w:r/>
          </w:p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98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2026</w:t>
            </w:r>
            <w:r/>
          </w:p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98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2027</w:t>
            </w:r>
            <w:r/>
          </w:p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597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2028</w:t>
            </w:r>
            <w:r/>
          </w:p>
          <w:p>
            <w:pPr>
              <w:ind w:left="-57" w:right="-57" w:firstLine="0"/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год</w:t>
            </w:r>
            <w:r/>
          </w:p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/>
            <w:r/>
          </w:p>
        </w:tc>
      </w:tr>
      <w:tr>
        <w:tblPrEx/>
        <w:trPr/>
        <w:tc>
          <w:tcPr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355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1.Качество воды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92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1.1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7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Доля проб холодной питьевой воды, подаваемой с источников водоснабжения, водопроводных станций или иных объектов централизованной системы водоснабжения в распределительную водопроводную сеть, не соответствующих установленным требованиям по удельной суммарн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ой альфа-активности, в общем объеме проб, отобранных по результатам производственного контроля качества питьевой воды</w:t>
            </w:r>
            <w:r/>
            <w:r/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582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63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Не более </w:t>
            </w:r>
            <w:r/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0,2</w:t>
            </w: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98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0,6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98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0,6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98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0,6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597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0,6</w:t>
            </w:r>
            <w:r/>
          </w:p>
        </w:tc>
      </w:tr>
      <w:tr>
        <w:tblPrEx/>
        <w:trPr/>
        <w:tc>
          <w:tcPr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355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2.Надежность и бесперебойность водоснабжения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92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2.1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7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Количество перерывов в подаче воды, зафиксированных в местах исполнения обязательств организацией, осуществляющей холодное водоснабжение, по подаче холодной воды, возникших в результате аварий, повреждений и иных технологических нарушений на объектах центр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ализованной системы холодного водоснабжения, принадлежащих организации, осуществляющей холодное водоснабжение, в расчете на протяженность водопроводной сети в год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582" w:type="dxa"/>
            <w:vAlign w:val="center"/>
            <w:textDirection w:val="lrTb"/>
            <w:noWrap w:val="false"/>
          </w:tcPr>
          <w:p>
            <w:pPr>
              <w:ind w:left="0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Ед./км.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63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98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98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98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597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</w:t>
            </w:r>
            <w:r/>
          </w:p>
        </w:tc>
      </w:tr>
      <w:tr>
        <w:tblPrEx/>
        <w:trPr/>
        <w:tc>
          <w:tcPr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9355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3.Эффективность использования ресурсов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92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3.1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7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Доля потерь воды в централизованных системах водоснабжения при транспортировке в общем объеме воды,поданной в водопроводную сеть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582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%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63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98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98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98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597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0</w:t>
            </w:r>
            <w:r/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92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3.2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7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Удельный расход электрической энергии, потребляемой в технологическом процессе забора и подготовки питьевой воды, на единицу объема воды, отпускаемую в сеть</w:t>
            </w:r>
            <w:r/>
            <w:r/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582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кВт*ч/куб. м</w:t>
            </w:r>
            <w:r/>
            <w:r/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63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98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0,777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98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0,777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98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0,777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597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0,777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392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3.3</w:t>
            </w:r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4427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Удельный расход электрической энергии, потребляемой в технологическом процессе забора и транспортировки питьевой воды, на единицу объема воды, транспортируемой воды</w:t>
            </w:r>
            <w:r/>
            <w:r/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582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кВт*ч/куб. м</w:t>
            </w:r>
            <w:r/>
            <w:r/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1263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/>
            <w:r/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98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0,777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98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0,777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698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0,777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Mar>
              <w:left w:w="0" w:type="dxa"/>
              <w:top w:w="0" w:type="dxa"/>
              <w:right w:w="0" w:type="dxa"/>
              <w:bottom w:w="0" w:type="dxa"/>
            </w:tcMar>
            <w:tcW w:w="597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0,777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ind w:left="0" w:right="0" w:firstLine="720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2.2. В ходе разработки инвестиционной программы должны быть решены следующие задачи:</w:t>
      </w:r>
      <w:r/>
    </w:p>
    <w:p>
      <w:pPr>
        <w:ind w:left="0" w:right="0" w:firstLine="720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2.2.1. Обоснование мероприятий </w:t>
      </w:r>
      <w:r>
        <w:rPr>
          <w:rFonts w:ascii="Times New Roman" w:hAnsi="Times New Roman" w:eastAsia="Times New Roman" w:cs="Times New Roman"/>
          <w:color w:val="000000"/>
          <w:sz w:val="24"/>
          <w:highlight w:val="white"/>
        </w:rPr>
        <w:t xml:space="preserve">по реконструкции</w:t>
      </w:r>
      <w:r>
        <w:rPr>
          <w:rFonts w:ascii="Times New Roman" w:hAnsi="Times New Roman" w:eastAsia="Times New Roman" w:cs="Times New Roman"/>
          <w:color w:val="000000"/>
          <w:sz w:val="24"/>
        </w:rPr>
        <w:t xml:space="preserve"> и модернизации системы коммунальной инфраструктуры холодного водоснабжения;</w:t>
      </w:r>
      <w:r/>
    </w:p>
    <w:p>
      <w:pPr>
        <w:ind w:left="0" w:right="0" w:firstLine="720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2.2.2. Определение объема финансовых потребностей, необходимых для осуществления финансирования указанных мероприятий;</w:t>
      </w:r>
      <w:r/>
    </w:p>
    <w:p>
      <w:pPr>
        <w:ind w:left="0" w:right="0" w:firstLine="720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2.2.3. Разработка плана финансирования работ, с указанием источников финансирования;</w:t>
      </w:r>
      <w:r/>
    </w:p>
    <w:p>
      <w:pPr>
        <w:ind w:left="0" w:right="0" w:firstLine="720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2.2.4. Развитие системы коммунальной инфраструктуры холодного водоснабжения в соответствии с разработанным планом мероприятий;</w:t>
      </w:r>
      <w:r/>
    </w:p>
    <w:p>
      <w:pPr>
        <w:ind w:left="0" w:right="0" w:firstLine="720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2.2.5. Обеспечение надежности и качества холодного водоснабжения;</w:t>
      </w:r>
      <w:r/>
    </w:p>
    <w:p>
      <w:pPr>
        <w:ind w:left="0" w:right="0" w:firstLine="0"/>
        <w:jc w:val="center"/>
        <w:spacing w:after="0" w:line="240" w:lineRule="auto"/>
        <w:rPr>
          <w:b w:val="0"/>
          <w:bCs w:val="0"/>
          <w:sz w:val="16"/>
          <w:szCs w:val="16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16"/>
          <w:szCs w:val="16"/>
        </w:rPr>
      </w:r>
      <w:r>
        <w:rPr>
          <w:b w:val="0"/>
          <w:bCs w:val="0"/>
          <w:sz w:val="16"/>
          <w:szCs w:val="16"/>
        </w:rPr>
      </w:r>
    </w:p>
    <w:p>
      <w:pPr>
        <w:ind w:left="0" w:right="0" w:firstLine="0"/>
        <w:jc w:val="center"/>
        <w:spacing w:line="240" w:lineRule="auto"/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</w:rPr>
        <w:t xml:space="preserve">Ш.Перечень объектов капитального строительства абонентов, которые необходимо подключить к централизованным системам водоснабжения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</w:r>
    </w:p>
    <w:p>
      <w:pPr>
        <w:ind w:left="0" w:right="0" w:firstLine="0"/>
        <w:jc w:val="center"/>
        <w:spacing w:line="240" w:lineRule="auto"/>
        <w:rPr>
          <w:rFonts w:ascii="Times New Roman" w:hAnsi="Times New Roman" w:eastAsia="Times New Roman" w:cs="Times New Roman"/>
          <w:b w:val="0"/>
          <w:bCs w:val="0"/>
          <w:color w:val="000000"/>
          <w:sz w:val="16"/>
          <w:szCs w:val="16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16"/>
          <w:szCs w:val="16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16"/>
          <w:szCs w:val="16"/>
          <w:highlight w:val="none"/>
        </w:rPr>
      </w:r>
    </w:p>
    <w:p>
      <w:pPr>
        <w:ind w:left="0" w:right="0" w:firstLine="720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3.1. Перечень объектов капитального строительства абонентов, которые необходимо подключить к централизованным системам водоснабжения приведен ниже в таблице 2.</w:t>
      </w:r>
      <w:r/>
    </w:p>
    <w:p>
      <w:pPr>
        <w:ind w:left="0" w:right="0" w:firstLine="709"/>
        <w:jc w:val="right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Таблица 2</w:t>
      </w:r>
      <w:r/>
    </w:p>
    <w:p>
      <w:pPr>
        <w:ind w:left="0" w:right="0" w:firstLine="0"/>
        <w:jc w:val="center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Информация об объектах, планируемых к подключению</w:t>
      </w:r>
      <w:r/>
    </w:p>
    <w:p>
      <w:pPr>
        <w:ind w:left="0" w:right="0" w:firstLine="0"/>
        <w:jc w:val="center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к централизованным системам водоснабжения</w:t>
      </w:r>
      <w:r/>
    </w:p>
    <w:tbl>
      <w:tblPr>
        <w:tblStyle w:val="934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2409"/>
        <w:gridCol w:w="850"/>
        <w:gridCol w:w="709"/>
        <w:gridCol w:w="709"/>
        <w:gridCol w:w="850"/>
        <w:gridCol w:w="709"/>
        <w:gridCol w:w="709"/>
        <w:gridCol w:w="1950"/>
      </w:tblGrid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 № п/п</w:t>
            </w:r>
            <w:r/>
            <w:r/>
          </w:p>
        </w:tc>
        <w:tc>
          <w:tcPr>
            <w:tcW w:w="2409" w:type="dxa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Территория (Объект)</w:t>
            </w:r>
            <w:r/>
            <w:r/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ind w:left="-113" w:right="-113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Год подключения</w:t>
            </w:r>
            <w:r/>
            <w:r/>
          </w:p>
        </w:tc>
        <w:tc>
          <w:tcPr>
            <w:gridSpan w:val="5"/>
            <w:tcW w:w="3686" w:type="dxa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Нагрузка подключаемых объектов, куб.м/сутки</w:t>
            </w:r>
            <w:r/>
            <w:r/>
          </w:p>
        </w:tc>
        <w:tc>
          <w:tcPr>
            <w:tcW w:w="1950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Примечания</w:t>
            </w:r>
            <w:r/>
            <w:r/>
          </w:p>
        </w:tc>
      </w:tr>
      <w:tr>
        <w:tblPrEx/>
        <w:trPr>
          <w:trHeight w:val="276"/>
        </w:trPr>
        <w:tc>
          <w:tcPr>
            <w:tcW w:w="675" w:type="dxa"/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W w:w="2409" w:type="dxa"/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W w:w="850" w:type="dxa"/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Всего</w:t>
            </w:r>
            <w:r/>
            <w:r/>
          </w:p>
        </w:tc>
        <w:tc>
          <w:tcPr>
            <w:gridSpan w:val="4"/>
            <w:tcW w:w="2976" w:type="dxa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в том числе по годам</w:t>
            </w:r>
            <w:r/>
            <w:r/>
          </w:p>
        </w:tc>
        <w:tc>
          <w:tcPr>
            <w:tcW w:w="1950" w:type="dxa"/>
            <w:vMerge w:val="continue"/>
            <w:textDirection w:val="lrTb"/>
            <w:noWrap w:val="false"/>
          </w:tcPr>
          <w:p>
            <w:r/>
            <w:r/>
            <w:r/>
          </w:p>
        </w:tc>
      </w:tr>
      <w:tr>
        <w:tblPrEx/>
        <w:trPr/>
        <w:tc>
          <w:tcPr>
            <w:tcW w:w="675" w:type="dxa"/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W w:w="2409" w:type="dxa"/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W w:w="850" w:type="dxa"/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W w:w="709" w:type="dxa"/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2026</w:t>
            </w:r>
            <w:r/>
            <w:r/>
          </w:p>
        </w:tc>
        <w:tc>
          <w:tcPr>
            <w:tcW w:w="850" w:type="dxa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2027</w:t>
            </w:r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2028</w:t>
            </w:r>
            <w:r/>
            <w:r/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</w:rPr>
              <w:t xml:space="preserve">2029</w:t>
            </w:r>
            <w:r/>
            <w:r/>
          </w:p>
        </w:tc>
        <w:tc>
          <w:tcPr>
            <w:tcW w:w="1950" w:type="dxa"/>
            <w:vMerge w:val="continue"/>
            <w:textDirection w:val="lrTb"/>
            <w:noWrap w:val="false"/>
          </w:tcPr>
          <w:p>
            <w:r/>
            <w:r/>
            <w:r/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ind w:left="-57" w:right="-57"/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  <w:t xml:space="preserve">1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gridSpan w:val="8"/>
            <w:tcW w:w="8895" w:type="dxa"/>
            <w:textDirection w:val="lrTb"/>
            <w:noWrap w:val="false"/>
          </w:tcPr>
          <w:p>
            <w:pPr>
              <w:ind w:left="-57" w:right="-57"/>
              <w:jc w:val="both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Земельный участок ул.Зои Космодемьянской, дом 4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1.1.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2409" w:type="dxa"/>
            <w:textDirection w:val="lrTb"/>
            <w:noWrap w:val="false"/>
          </w:tcPr>
          <w:p>
            <w:pPr>
              <w:ind w:left="-57" w:right="-57" w:firstLine="0"/>
              <w:jc w:val="both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Строительство многоквартирного жилого дома, город Тайшет, ул.Зои Космодемьянской, дом 4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2027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 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 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14,7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 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0" w:right="0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 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1950" w:type="dxa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Едина точка подсоединения ВК-67/1(проектируемый)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  <w:t xml:space="preserve">кадастровый №38:29:011104:550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/>
        <w:tc>
          <w:tcPr>
            <w:tcW w:w="675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240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  <w:t xml:space="preserve">ИТОГО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  <w:t xml:space="preserve">14,7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1950" w:type="dxa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  <w:tr>
        <w:tblPrEx/>
        <w:trPr/>
        <w:tc>
          <w:tcPr>
            <w:tcW w:w="675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2409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  <w:t xml:space="preserve">ВСЕГО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850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  <w:t xml:space="preserve">14,7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tcW w:w="1950" w:type="dxa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</w:tr>
    </w:tbl>
    <w:p>
      <w:pPr>
        <w:ind w:left="0" w:right="0" w:firstLine="0"/>
        <w:jc w:val="center"/>
        <w:spacing w:after="0" w:line="240" w:lineRule="auto"/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highlight w:val="none"/>
        </w:rPr>
      </w:r>
    </w:p>
    <w:p>
      <w:pPr>
        <w:ind w:left="0" w:right="0" w:firstLine="0"/>
        <w:jc w:val="center"/>
        <w:spacing w:after="0" w:line="240" w:lineRule="auto"/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</w:rPr>
        <w:t xml:space="preserve">I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</w:rPr>
        <w:t xml:space="preserve">V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</w:rPr>
        <w:t xml:space="preserve">. Требования к инвестиционной программе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</w:r>
    </w:p>
    <w:p>
      <w:pPr>
        <w:ind w:left="567" w:right="0" w:firstLine="0"/>
        <w:jc w:val="center"/>
        <w:spacing w:after="0" w:line="240" w:lineRule="auto"/>
        <w:rPr>
          <w:b w:val="0"/>
          <w:bCs w:val="0"/>
          <w:sz w:val="16"/>
          <w:szCs w:val="16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</w:pPr>
      <w:r>
        <w:rPr>
          <w:rFonts w:ascii="Times New Roman" w:hAnsi="Times New Roman" w:eastAsia="Times New Roman" w:cs="Times New Roman"/>
          <w:b w:val="0"/>
          <w:bCs w:val="0"/>
          <w:sz w:val="16"/>
          <w:szCs w:val="16"/>
        </w:rPr>
      </w:r>
      <w:r>
        <w:rPr>
          <w:b w:val="0"/>
          <w:bCs w:val="0"/>
          <w:sz w:val="16"/>
          <w:szCs w:val="16"/>
        </w:rPr>
      </w:r>
    </w:p>
    <w:p>
      <w:pPr>
        <w:pStyle w:val="1060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4.1. Инвестиционная программа должна содержать: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1060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  <w:highlight w:val="none"/>
        </w:rPr>
        <w:suppressLineNumbers w:val="0"/>
      </w:pPr>
      <w:r>
        <w:rPr>
          <w:rFonts w:eastAsia="Times New Roman" w:cs="Times New Roman"/>
          <w:sz w:val="24"/>
          <w:szCs w:val="24"/>
          <w:highlight w:val="none"/>
        </w:rPr>
        <w:t xml:space="preserve">4</w:t>
      </w:r>
      <w:r>
        <w:rPr>
          <w:rFonts w:eastAsia="Times New Roman" w:cs="Times New Roman"/>
          <w:sz w:val="24"/>
          <w:szCs w:val="24"/>
          <w:highlight w:val="white"/>
        </w:rPr>
        <w:t xml:space="preserve">.1</w:t>
      </w:r>
      <w:r>
        <w:rPr>
          <w:rFonts w:eastAsia="Times New Roman" w:cs="Times New Roman"/>
          <w:sz w:val="24"/>
          <w:szCs w:val="24"/>
          <w:highlight w:val="white"/>
        </w:rPr>
        <w:t xml:space="preserve">.1</w:t>
      </w:r>
      <w:r>
        <w:rPr>
          <w:rFonts w:eastAsia="Times New Roman" w:cs="Times New Roman"/>
          <w:sz w:val="24"/>
          <w:szCs w:val="24"/>
        </w:rPr>
        <w:t xml:space="preserve">. Паспорт инвестиционной программы;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pStyle w:val="1060"/>
        <w:ind w:firstLine="720"/>
        <w:jc w:val="both"/>
        <w:spacing w:line="240" w:lineRule="auto"/>
        <w:shd w:val="clear" w:color="auto" w:fill="ffffff"/>
        <w:rPr>
          <w:rFonts w:eastAsia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cs="Times New Roman"/>
          <w:sz w:val="24"/>
          <w:szCs w:val="24"/>
          <w:highlight w:val="none"/>
        </w:rPr>
        <w:t xml:space="preserve">4.1.2. П</w:t>
      </w:r>
      <w:r>
        <w:rPr>
          <w:sz w:val="24"/>
        </w:rPr>
        <w:t xml:space="preserve">еречен</w:t>
      </w:r>
      <w:r>
        <w:rPr>
          <w:sz w:val="24"/>
        </w:rPr>
        <w:t xml:space="preserve">ь мероприятий по подготовке проектной документации, строительству, модернизации и (или) реконструкции существующих объектов централизованных систем водоснабжения</w:t>
      </w:r>
      <w:r>
        <w:rPr>
          <w:rFonts w:ascii="Times New Roman" w:hAnsi="Times New Roman" w:cs="Times New Roman"/>
          <w:sz w:val="24"/>
          <w:szCs w:val="24"/>
          <w:highlight w:val="none"/>
        </w:rPr>
        <w:t xml:space="preserve">,</w:t>
      </w:r>
      <w:r>
        <w:rPr>
          <w:rFonts w:eastAsia="Times New Roman" w:cs="Times New Roman"/>
          <w:sz w:val="24"/>
          <w:szCs w:val="24"/>
        </w:rPr>
        <w:t xml:space="preserve">описание и план технических мероприятий инвестиционной программы, направленных на развитие системы водоснабжения.</w:t>
      </w:r>
      <w:r>
        <w:rPr>
          <w:rFonts w:eastAsia="Times New Roman" w:cs="Times New Roman"/>
          <w:sz w:val="24"/>
          <w:szCs w:val="24"/>
        </w:rPr>
      </w:r>
      <w:r>
        <w:rPr>
          <w:rFonts w:eastAsia="Times New Roman" w:cs="Times New Roman"/>
          <w:sz w:val="24"/>
          <w:szCs w:val="24"/>
        </w:rPr>
      </w:r>
    </w:p>
    <w:p>
      <w:pPr>
        <w:ind w:firstLine="720"/>
        <w:jc w:val="both"/>
        <w:spacing w:line="240" w:lineRule="auto"/>
        <w:shd w:val="clear" w:color="auto" w:fill="ffffff"/>
        <w:rPr>
          <w:highlight w:val="none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По каждому мероприятию необходимо указывать адрес объекта и год, в котором планируется его реализация;</w:t>
      </w:r>
      <w:r>
        <w:rPr>
          <w:highlight w:val="none"/>
        </w:rPr>
      </w:r>
      <w:r>
        <w:rPr>
          <w:highlight w:val="none"/>
        </w:rPr>
      </w:r>
    </w:p>
    <w:p>
      <w:pPr>
        <w:ind w:firstLine="720"/>
        <w:jc w:val="both"/>
        <w:spacing w:line="240" w:lineRule="auto"/>
        <w:shd w:val="clear" w:color="auto" w:fill="ffffff"/>
        <w:rPr>
          <w:highlight w:val="none"/>
        </w:rPr>
        <w:suppressLineNumbers w:val="0"/>
      </w:pPr>
      <w:r>
        <w:rPr>
          <w:highlight w:val="white"/>
        </w:rPr>
        <w:t xml:space="preserve">4.1.3.</w:t>
      </w:r>
      <w:r>
        <w:rPr>
          <w:highlight w:val="none"/>
        </w:rPr>
        <w:t xml:space="preserve"> </w:t>
      </w:r>
      <w:r>
        <w:rPr>
          <w:highlight w:val="none"/>
        </w:rPr>
        <w:t xml:space="preserve">П</w:t>
      </w:r>
      <w:r>
        <w:rPr>
          <w:sz w:val="24"/>
        </w:rPr>
        <w:t xml:space="preserve">лановый процент износа объектов централизованных систем водоснабжения и фактический процент износа объектов централизованных систем водоснабжения существующих на начало реализации инвестиционной программы</w:t>
      </w:r>
      <w:r>
        <w:rPr>
          <w:highlight w:val="none"/>
        </w:rPr>
        <w:t xml:space="preserve"> приведен ниже в таблице 3.</w:t>
      </w:r>
      <w:r>
        <w:rPr>
          <w:highlight w:val="none"/>
        </w:rPr>
      </w:r>
      <w:r>
        <w:rPr>
          <w:highlight w:val="none"/>
        </w:rPr>
      </w:r>
    </w:p>
    <w:p>
      <w:pPr>
        <w:ind w:firstLine="709"/>
        <w:jc w:val="right"/>
        <w:spacing w:line="240" w:lineRule="auto"/>
        <w:shd w:val="clear" w:color="auto" w:fill="ffffff"/>
        <w:rPr>
          <w:highlight w:val="none"/>
        </w:rPr>
      </w:pPr>
      <w:r>
        <w:rPr>
          <w:highlight w:val="none"/>
        </w:rPr>
        <w:t xml:space="preserve">Таблица 3</w:t>
      </w:r>
      <w:r>
        <w:rPr>
          <w:highlight w:val="none"/>
        </w:rPr>
      </w:r>
      <w:r>
        <w:rPr>
          <w:highlight w:val="none"/>
        </w:rPr>
      </w:r>
    </w:p>
    <w:tbl>
      <w:tblPr>
        <w:tblStyle w:val="934"/>
        <w:tblW w:w="0" w:type="auto"/>
        <w:tblLayout w:type="fixed"/>
        <w:tblLook w:val="04A0" w:firstRow="1" w:lastRow="0" w:firstColumn="1" w:lastColumn="0" w:noHBand="0" w:noVBand="1"/>
      </w:tblPr>
      <w:tblGrid>
        <w:gridCol w:w="3084"/>
        <w:gridCol w:w="1843"/>
        <w:gridCol w:w="1843"/>
        <w:gridCol w:w="709"/>
        <w:gridCol w:w="709"/>
        <w:gridCol w:w="709"/>
        <w:gridCol w:w="675"/>
      </w:tblGrid>
      <w:tr>
        <w:tblPrEx/>
        <w:trPr>
          <w:trHeight w:val="660"/>
        </w:trPr>
        <w:tc>
          <w:tcPr>
            <w:tcW w:w="3084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spacing w:line="240" w:lineRule="auto"/>
              <w:shd w:val="clear" w:color="auto" w:fill="ffffff"/>
              <w:rPr>
                <w:highlight w:val="none"/>
              </w:rPr>
              <w:suppressLineNumbers w:val="0"/>
            </w:pPr>
            <w:r>
              <w:rPr>
                <w:highlight w:val="none"/>
              </w:rPr>
            </w:r>
            <w:r>
              <w:rPr>
                <w:highlight w:val="none"/>
              </w:rPr>
              <w:t xml:space="preserve">Наименование объекта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ind w:left="-113" w:right="-113"/>
              <w:jc w:val="center"/>
              <w:spacing w:line="240" w:lineRule="auto"/>
              <w:shd w:val="clear" w:color="auto" w:fill="ffffff"/>
              <w:rPr>
                <w:highlight w:val="none"/>
              </w:rPr>
              <w:suppressLineNumbers w:val="0"/>
            </w:pPr>
            <w:r>
              <w:rPr>
                <w:highlight w:val="none"/>
              </w:rPr>
              <w:t xml:space="preserve">Плановый износ </w:t>
            </w:r>
            <w:r>
              <w:rPr>
                <w:highlight w:val="none"/>
              </w:rPr>
              <w:t xml:space="preserve">объектов централизованных систем водоснабжения,</w:t>
            </w:r>
            <w:r>
              <w:rPr>
                <w:highlight w:val="none"/>
              </w:rPr>
              <w:t xml:space="preserve">%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tcW w:w="1843" w:type="dxa"/>
            <w:vMerge w:val="restart"/>
            <w:textDirection w:val="lrTb"/>
            <w:noWrap w:val="false"/>
          </w:tcPr>
          <w:p>
            <w:pPr>
              <w:ind w:left="-113" w:right="-113"/>
              <w:jc w:val="center"/>
              <w:spacing w:line="240" w:lineRule="auto"/>
              <w:shd w:val="clear" w:color="auto" w:fill="ffffff"/>
              <w:rPr>
                <w:highlight w:val="none"/>
              </w:rPr>
              <w:suppressLineNumbers w:val="0"/>
            </w:pPr>
            <w:r>
              <w:rPr>
                <w:highlight w:val="none"/>
              </w:rPr>
              <w:t xml:space="preserve">Фактический износ объектов централизованных систем водоснабжения,%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gridSpan w:val="4"/>
            <w:tcW w:w="2801" w:type="dxa"/>
            <w:textDirection w:val="lrTb"/>
            <w:noWrap w:val="false"/>
          </w:tcPr>
          <w:p>
            <w:pPr>
              <w:ind w:left="-57" w:right="-57"/>
              <w:jc w:val="center"/>
              <w:spacing w:line="240" w:lineRule="auto"/>
              <w:shd w:val="clear" w:color="auto" w:fill="ffffff"/>
              <w:rPr>
                <w:highlight w:val="none"/>
              </w:rPr>
              <w:suppressLineNumbers w:val="0"/>
            </w:pPr>
            <w:r>
              <w:rPr>
                <w:highlight w:val="none"/>
              </w:rPr>
              <w:t xml:space="preserve">Плановое значение износа после реализации инвесиционной прогаммы,%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</w:tr>
      <w:tr>
        <w:tblPrEx/>
        <w:trPr>
          <w:trHeight w:val="274"/>
        </w:trPr>
        <w:tc>
          <w:tcPr>
            <w:tcW w:w="3084" w:type="dxa"/>
            <w:vMerge w:val="continue"/>
            <w:textDirection w:val="lrTb"/>
            <w:noWrap w:val="false"/>
          </w:tcPr>
          <w:p>
            <w:pPr>
              <w:jc w:val="both"/>
              <w:shd w:val="clear" w:color="auto" w:fill="ffffff"/>
              <w:rPr>
                <w:highlight w:val="none"/>
              </w:rPr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tcW w:w="1843" w:type="dxa"/>
            <w:vMerge w:val="continue"/>
            <w:textDirection w:val="lrTb"/>
            <w:noWrap w:val="false"/>
          </w:tcPr>
          <w:p>
            <w:pPr>
              <w:jc w:val="both"/>
              <w:shd w:val="clear" w:color="auto" w:fill="ffffff"/>
              <w:rPr>
                <w:highlight w:val="none"/>
              </w:rPr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tcW w:w="1843" w:type="dxa"/>
            <w:vMerge w:val="continue"/>
            <w:textDirection w:val="lrTb"/>
            <w:noWrap w:val="false"/>
          </w:tcPr>
          <w:p>
            <w:pPr>
              <w:jc w:val="both"/>
              <w:shd w:val="clear" w:color="auto" w:fill="ffffff"/>
              <w:rPr>
                <w:highlight w:val="none"/>
              </w:rPr>
            </w:pPr>
            <w:r>
              <w:rPr>
                <w:highlight w:val="none"/>
              </w:rPr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spacing w:line="240" w:lineRule="auto"/>
              <w:shd w:val="clear" w:color="auto" w:fill="ffffff"/>
              <w:rPr>
                <w:highlight w:val="none"/>
              </w:rPr>
              <w:suppressLineNumbers w:val="0"/>
            </w:pPr>
            <w:r>
              <w:rPr>
                <w:highlight w:val="none"/>
              </w:rPr>
              <w:t xml:space="preserve">2025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spacing w:line="240" w:lineRule="auto"/>
              <w:shd w:val="clear" w:color="auto" w:fill="ffffff"/>
              <w:rPr>
                <w:highlight w:val="none"/>
              </w:rPr>
              <w:suppressLineNumbers w:val="0"/>
            </w:pPr>
            <w:r>
              <w:rPr>
                <w:highlight w:val="none"/>
              </w:rPr>
              <w:t xml:space="preserve">2026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tcW w:w="709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spacing w:line="240" w:lineRule="auto"/>
              <w:shd w:val="clear" w:color="auto" w:fill="ffffff"/>
              <w:rPr>
                <w:highlight w:val="none"/>
              </w:rPr>
              <w:suppressLineNumbers w:val="0"/>
            </w:pPr>
            <w:r>
              <w:rPr>
                <w:highlight w:val="none"/>
              </w:rPr>
              <w:t xml:space="preserve">2027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tcW w:w="675" w:type="dxa"/>
            <w:vMerge w:val="restart"/>
            <w:textDirection w:val="lrTb"/>
            <w:noWrap w:val="false"/>
          </w:tcPr>
          <w:p>
            <w:pPr>
              <w:ind w:left="-57" w:right="-57"/>
              <w:jc w:val="center"/>
              <w:spacing w:line="240" w:lineRule="auto"/>
              <w:shd w:val="clear" w:color="auto" w:fill="ffffff"/>
              <w:rPr>
                <w:highlight w:val="none"/>
              </w:rPr>
              <w:suppressLineNumbers w:val="0"/>
            </w:pPr>
            <w:r>
              <w:rPr>
                <w:highlight w:val="none"/>
              </w:rPr>
              <w:t xml:space="preserve">2028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</w:tr>
      <w:tr>
        <w:tblPrEx/>
        <w:trPr/>
        <w:tc>
          <w:tcPr>
            <w:tcW w:w="3084" w:type="dxa"/>
            <w:textDirection w:val="lrTb"/>
            <w:noWrap w:val="false"/>
          </w:tcPr>
          <w:p>
            <w:pPr>
              <w:ind w:left="-57" w:right="-57"/>
              <w:jc w:val="center"/>
              <w:spacing w:line="240" w:lineRule="auto"/>
              <w:shd w:val="clear" w:color="auto" w:fill="ffffff"/>
              <w:rPr>
                <w:highlight w:val="none"/>
              </w:rPr>
              <w:suppressLineNumbers w:val="0"/>
            </w:pPr>
            <w:r>
              <w:rPr>
                <w:highlight w:val="none"/>
              </w:rPr>
              <w:t xml:space="preserve">ВП-17 по улТранспортная до ВК-78 с поворотом на ул. Бурлова 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  <w:r>
              <w:rPr>
                <w:highlight w:val="none"/>
              </w:rPr>
              <w:t xml:space="preserve">1990г(сталь)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spacing w:line="240" w:lineRule="auto"/>
              <w:shd w:val="clear" w:color="auto" w:fill="ffffff"/>
              <w:rPr>
                <w:highlight w:val="none"/>
              </w:rPr>
              <w:suppressLineNumbers w:val="0"/>
            </w:pPr>
            <w:r>
              <w:rPr>
                <w:highlight w:val="none"/>
              </w:rPr>
              <w:t xml:space="preserve">100%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tcW w:w="1843" w:type="dxa"/>
            <w:textDirection w:val="lrTb"/>
            <w:noWrap w:val="false"/>
          </w:tcPr>
          <w:p>
            <w:pPr>
              <w:ind w:left="-57" w:right="-57"/>
              <w:jc w:val="center"/>
              <w:spacing w:line="240" w:lineRule="auto"/>
              <w:shd w:val="clear" w:color="auto" w:fill="ffffff"/>
              <w:rPr>
                <w:highlight w:val="none"/>
              </w:rPr>
              <w:suppressLineNumbers w:val="0"/>
            </w:pPr>
            <w:r>
              <w:rPr>
                <w:highlight w:val="none"/>
              </w:rPr>
              <w:t xml:space="preserve">95%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spacing w:line="240" w:lineRule="auto"/>
              <w:shd w:val="clear" w:color="auto" w:fill="ffffff"/>
              <w:rPr>
                <w:highlight w:val="none"/>
              </w:rPr>
              <w:suppressLineNumbers w:val="0"/>
            </w:pPr>
            <w:r>
              <w:rPr>
                <w:highlight w:val="none"/>
              </w:rPr>
              <w:t xml:space="preserve">95%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spacing w:line="240" w:lineRule="auto"/>
              <w:shd w:val="clear" w:color="auto" w:fill="ffffff"/>
              <w:rPr>
                <w:highlight w:val="none"/>
              </w:rPr>
              <w:suppressLineNumbers w:val="0"/>
            </w:pPr>
            <w:r>
              <w:rPr>
                <w:highlight w:val="none"/>
              </w:rPr>
              <w:t xml:space="preserve">95%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tcW w:w="709" w:type="dxa"/>
            <w:textDirection w:val="lrTb"/>
            <w:noWrap w:val="false"/>
          </w:tcPr>
          <w:p>
            <w:pPr>
              <w:ind w:left="-57" w:right="-57"/>
              <w:jc w:val="center"/>
              <w:spacing w:line="240" w:lineRule="auto"/>
              <w:shd w:val="clear" w:color="auto" w:fill="ffffff"/>
              <w:rPr>
                <w:highlight w:val="none"/>
              </w:rPr>
              <w:suppressLineNumbers w:val="0"/>
            </w:pPr>
            <w:r>
              <w:rPr>
                <w:highlight w:val="none"/>
              </w:rPr>
              <w:t xml:space="preserve">0%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  <w:tc>
          <w:tcPr>
            <w:tcW w:w="675" w:type="dxa"/>
            <w:textDirection w:val="lrTb"/>
            <w:noWrap w:val="false"/>
          </w:tcPr>
          <w:p>
            <w:pPr>
              <w:ind w:left="-57" w:right="-57"/>
              <w:jc w:val="center"/>
              <w:spacing w:line="240" w:lineRule="auto"/>
              <w:shd w:val="clear" w:color="auto" w:fill="ffffff"/>
              <w:rPr>
                <w:highlight w:val="none"/>
              </w:rPr>
              <w:suppressLineNumbers w:val="0"/>
            </w:pPr>
            <w:r>
              <w:rPr>
                <w:highlight w:val="none"/>
              </w:rPr>
              <w:t xml:space="preserve">2%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</w:tc>
      </w:tr>
    </w:tbl>
    <w:p>
      <w:pPr>
        <w:ind w:firstLine="720"/>
        <w:jc w:val="both"/>
        <w:spacing w:line="240" w:lineRule="auto"/>
        <w:shd w:val="clear" w:color="auto" w:fill="ffffff"/>
        <w:rPr>
          <w:highlight w:val="none"/>
        </w:rPr>
        <w:suppressLineNumbers w:val="0"/>
      </w:pPr>
      <w:r>
        <w:rPr>
          <w:highlight w:val="none"/>
        </w:rPr>
        <w:t xml:space="preserve">4.1.4.</w:t>
      </w:r>
      <w:r>
        <w:rPr>
          <w:sz w:val="24"/>
        </w:rPr>
        <w:t xml:space="preserve"> График реализации мероприятий инвестиционной программы, включая график ввода объектов централизованных систем водоснабжения и  в эксплуатацию;</w:t>
      </w:r>
      <w:r>
        <w:rPr>
          <w:highlight w:val="none"/>
        </w:rPr>
      </w:r>
      <w:r>
        <w:rPr>
          <w:highlight w:val="none"/>
        </w:rPr>
      </w:r>
    </w:p>
    <w:p>
      <w:pPr>
        <w:ind w:firstLine="720"/>
        <w:jc w:val="both"/>
        <w:spacing w:line="240" w:lineRule="auto"/>
        <w:shd w:val="clear" w:color="auto" w:fill="ffffff"/>
        <w:rPr>
          <w:highlight w:val="none"/>
        </w:rPr>
        <w:suppressLineNumbers w:val="0"/>
      </w:pPr>
      <w:r>
        <w:rPr>
          <w:highlight w:val="none"/>
        </w:rPr>
        <w:t xml:space="preserve">4.1.5. </w:t>
      </w:r>
      <w:r>
        <w:rPr>
          <w:sz w:val="24"/>
        </w:rPr>
        <w:t xml:space="preserve">Источники финансирования инвестиционной программы с разделением по видам деятельности, по годам и по мероприятиям;</w:t>
      </w:r>
      <w:r>
        <w:rPr>
          <w:highlight w:val="none"/>
        </w:rPr>
      </w:r>
      <w:r>
        <w:rPr>
          <w:highlight w:val="none"/>
        </w:rPr>
      </w:r>
    </w:p>
    <w:p>
      <w:pPr>
        <w:ind w:firstLine="720"/>
        <w:jc w:val="both"/>
        <w:spacing w:line="240" w:lineRule="auto"/>
        <w:shd w:val="clear" w:color="auto" w:fill="ffffff"/>
        <w:rPr>
          <w:sz w:val="24"/>
          <w:szCs w:val="24"/>
          <w:highlight w:val="none"/>
        </w:rPr>
        <w:suppressLineNumbers w:val="0"/>
      </w:pPr>
      <w:r>
        <w:rPr>
          <w:highlight w:val="none"/>
        </w:rPr>
        <w:t xml:space="preserve">4.1.6.</w:t>
      </w:r>
      <w:r>
        <w:rPr>
          <w:sz w:val="24"/>
        </w:rPr>
        <w:t xml:space="preserve"> Расчет </w:t>
      </w:r>
      <w:r>
        <w:rPr>
          <w:sz w:val="24"/>
        </w:rPr>
        <w:t xml:space="preserve">эффективности инвестирования средств, осуществляемый путем сопоставления динамики показателей надежности, качества и энергоэффективности объектов централизованных систем водоснабжения и расходов на реализацию инвестиционной программы;</w:t>
      </w:r>
      <w:r>
        <w:rPr>
          <w:sz w:val="24"/>
          <w:szCs w:val="24"/>
          <w:highlight w:val="none"/>
        </w:rPr>
      </w:r>
      <w:r>
        <w:rPr>
          <w:sz w:val="24"/>
          <w:szCs w:val="24"/>
          <w:highlight w:val="none"/>
        </w:rPr>
      </w:r>
    </w:p>
    <w:p>
      <w:pPr>
        <w:ind w:firstLine="720"/>
        <w:jc w:val="both"/>
        <w:spacing w:line="240" w:lineRule="auto"/>
        <w:shd w:val="clear" w:color="auto" w:fill="ffffff"/>
        <w:rPr>
          <w:rFonts w:ascii="Times New Roman" w:hAnsi="Times New Roman" w:cs="Times New Roman"/>
          <w:color w:val="1a1a1a"/>
          <w:sz w:val="24"/>
          <w:szCs w:val="24"/>
        </w:rPr>
        <w:suppressLineNumbers w:val="0"/>
      </w:pPr>
      <w:r>
        <w:rPr>
          <w:sz w:val="24"/>
          <w:highlight w:val="none"/>
        </w:rPr>
        <w:t xml:space="preserve">4.1.7.</w:t>
      </w:r>
      <w:r>
        <w:rPr>
          <w:sz w:val="24"/>
        </w:rPr>
        <w:t xml:space="preserve"> Предварительный расчет тарифов в сфере водоснабжения и водоотведения на период реализации инвестиционной программы;</w:t>
      </w:r>
      <w:r>
        <w:rPr>
          <w:rFonts w:ascii="Times New Roman" w:hAnsi="Times New Roman" w:cs="Times New Roman"/>
          <w:color w:val="1a1a1a"/>
          <w:sz w:val="24"/>
          <w:szCs w:val="24"/>
        </w:rPr>
      </w:r>
      <w:r>
        <w:rPr>
          <w:rFonts w:ascii="Times New Roman" w:hAnsi="Times New Roman" w:cs="Times New Roman"/>
          <w:color w:val="1a1a1a"/>
          <w:sz w:val="24"/>
          <w:szCs w:val="24"/>
        </w:rPr>
      </w:r>
    </w:p>
    <w:p>
      <w:pPr>
        <w:pStyle w:val="1060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4.1.8. Цели и задачи инвестиционной программы;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1060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4.1.9. Ожидаемые результ</w:t>
      </w:r>
      <w:r>
        <w:rPr>
          <w:rFonts w:eastAsia="Times New Roman" w:cs="Times New Roman"/>
          <w:sz w:val="24"/>
          <w:szCs w:val="24"/>
        </w:rPr>
        <w:t xml:space="preserve">аты реализации мероприятий, представленные в виде целевых индикаторов на текущий момент, на отдельных этапах и на момент завершения реализации инвестиционной программы, должны соответствовать значениям целевых показателей и индикаторов, согласно таблице 1;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1060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4.2. К проекту инвестиционной программы должны прилагаться: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1060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4.2.1. Пояснительная записка;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1060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</w:rPr>
        <w:t xml:space="preserve">4.2.2. Технико-экономическое обоснование;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right="0" w:firstLine="0"/>
        <w:jc w:val="center"/>
        <w:spacing w:after="0" w:line="240" w:lineRule="auto"/>
        <w:rPr>
          <w:b w:val="0"/>
          <w:bCs w:val="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left="0" w:right="0" w:firstLine="709"/>
        <w:jc w:val="center"/>
        <w:spacing w:after="0" w:line="240" w:lineRule="auto"/>
        <w:rPr>
          <w:b w:val="0"/>
          <w:bCs w:val="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V. Сроки разработки инвестиционной программы</w:t>
      </w:r>
      <w:r>
        <w:rPr>
          <w:b w:val="0"/>
          <w:bCs w:val="0"/>
          <w:sz w:val="24"/>
          <w:szCs w:val="24"/>
        </w:rPr>
      </w:r>
    </w:p>
    <w:p>
      <w:pPr>
        <w:ind w:left="0" w:right="0" w:firstLine="0"/>
        <w:jc w:val="center"/>
        <w:spacing w:after="0" w:line="240" w:lineRule="auto"/>
        <w:rPr>
          <w:b w:val="0"/>
          <w:bCs w:val="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left="0" w:right="0" w:firstLine="720"/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</w:rPr>
        <w:t xml:space="preserve">5.1. Срок разработки инвестиционной программы – три месяца с момента утверждения технического задания на разработку инвестиционной программы ООО «Водоресурс» «Строительство, реконструкция и модернизация объектов централизованной системы холодного водосна</w:t>
      </w:r>
      <w:r>
        <w:rPr>
          <w:rFonts w:ascii="Times New Roman" w:hAnsi="Times New Roman" w:eastAsia="Times New Roman" w:cs="Times New Roman"/>
          <w:color w:val="000000"/>
          <w:sz w:val="24"/>
        </w:rPr>
        <w:t xml:space="preserve">бжения на территории Тайшетского городского поселения на период 2025-2028 годы».</w:t>
      </w:r>
      <w:r>
        <w:rPr>
          <w:rFonts w:ascii="Times New Roman" w:hAnsi="Times New Roman" w:eastAsia="Times New Roman" w:cs="Times New Roman"/>
          <w:sz w:val="24"/>
        </w:rPr>
      </w:r>
      <w:r/>
    </w:p>
    <w:p>
      <w:pPr>
        <w:ind w:left="0" w:right="0" w:firstLine="720"/>
        <w:jc w:val="both"/>
        <w:spacing w:after="0" w:line="240" w:lineRule="auto"/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sz w:val="24"/>
          <w:highlight w:val="none"/>
        </w:rPr>
      </w:r>
      <w:r>
        <w:rPr>
          <w:rFonts w:ascii="Times New Roman" w:hAnsi="Times New Roman" w:eastAsia="Times New Roman" w:cs="Times New Roman"/>
          <w:sz w:val="24"/>
          <w:highlight w:val="none"/>
        </w:rPr>
      </w:r>
    </w:p>
    <w:p>
      <w:pPr>
        <w:ind w:left="0" w:right="0" w:firstLine="0"/>
        <w:jc w:val="center"/>
        <w:spacing w:after="0" w:line="240" w:lineRule="auto"/>
        <w:rPr>
          <w:b w:val="0"/>
          <w:bCs w:val="0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</w:rPr>
        <w:t xml:space="preserve">V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</w:rPr>
        <w:t xml:space="preserve">I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</w:rPr>
        <w:t xml:space="preserve">. Порядок и форма предоставления, рассмотрения и утверждения инвестиционной программы</w:t>
      </w:r>
      <w:r>
        <w:rPr>
          <w:b w:val="0"/>
          <w:bCs w:val="0"/>
        </w:rPr>
      </w:r>
    </w:p>
    <w:p>
      <w:pPr>
        <w:pStyle w:val="1131"/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6.1. Инвестиционная программа разрабатывается на основании: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1131"/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 Постановления Правительства Российской Федерации от 29 июля 2013 года №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641 «Об инвестиционных и производственных программах организаций, осуществляющих деятельность в сфере водоснабжения и водоотведения», Постановления Правительства Российской Федерации от 05 сентября 2013 года №782 «О схемах водоснабжения 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и водоотведения», Приказа Министерства Регионального развития Российской Федерации от 10 октября 2007 года №99 «Об утверждении методических рекомендаций по подготовке технических заданий по разработке инвестиционных программ организаций коммунального компле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кса», Приказа Министерства регионального развития от 10 октября 2007 года №100 «Об утверждении методических рекомендаций по разработке инвестиционных программ организаций коммунального комплекса», Технического задания на разработку инвестиционной программы </w:t>
      </w:r>
      <w:r>
        <w:rPr>
          <w:rFonts w:ascii="Times New Roman" w:hAnsi="Times New Roman" w:eastAsia="Times New Roman" w:cs="Times New Roman"/>
          <w:bCs/>
          <w:sz w:val="24"/>
          <w:szCs w:val="24"/>
          <w:lang w:val="ru-RU"/>
        </w:rPr>
        <w:t xml:space="preserve">ООО «Водоресурс» «Строительство, реконструкция и модернизация объектов централизованной системы водоснабжения на территории Тайшетского городского поселения на период 2025-2028 годы», </w:t>
      </w: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утвержденного постановлением администрации Тайшетского городского поселения.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1131"/>
        <w:ind w:left="0"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  <w:lang w:val="ru-RU"/>
        </w:rPr>
        <w:t xml:space="preserve">6.2. Подготовка проекта инвестиционной программы и расчет финансовых потребностей, необходимых для реализации данной программы, производятся ООО «Водоресурс».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1129"/>
        <w:ind w:firstLine="720"/>
        <w:jc w:val="both"/>
        <w:spacing w:line="240" w:lineRule="auto"/>
        <w:widowControl/>
        <w:tabs>
          <w:tab w:val="left" w:pos="0" w:leader="none"/>
          <w:tab w:val="clear" w:pos="708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6.3. Подготовленный проект инвестиционной программы и расчет необходимых для ее реализации финансовых потребностей предоставляются ООО «Водоресурс» в администрацию Тайше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тского городского поселения, которая осуществляет проверку соответствия проекта инвестиционной программы условиям утвержденного технического задания на ее формирование.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1129"/>
        <w:ind w:firstLine="720"/>
        <w:jc w:val="both"/>
        <w:spacing w:line="240" w:lineRule="auto"/>
        <w:widowControl/>
        <w:tabs>
          <w:tab w:val="left" w:pos="0" w:leader="none"/>
          <w:tab w:val="clear" w:pos="708" w:leader="none"/>
        </w:tabs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6.4. В случае  несоответствия проекта указанной программы техническому заданию на ее разработку администрация </w:t>
      </w:r>
      <w:r>
        <w:rPr>
          <w:rStyle w:val="1098"/>
          <w:rFonts w:ascii="Times New Roman" w:hAnsi="Times New Roman" w:eastAsia="Times New Roman" w:cs="Times New Roman"/>
          <w:sz w:val="24"/>
          <w:szCs w:val="24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Тайшетского городского поселения вправе вернуть проект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инвестиционной программы ООО «Водоресурс» для устранения выявленных несоответствий с письменным изложением перечня замечаний и причин признания проекта инвестиционной программы необоснованным.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1129"/>
        <w:ind w:firstLine="720"/>
        <w:jc w:val="both"/>
        <w:spacing w:line="240" w:lineRule="auto"/>
        <w:widowControl/>
        <w:rPr>
          <w:rFonts w:ascii="Times New Roman" w:hAnsi="Times New Roman" w:cs="Times New Roman"/>
          <w:sz w:val="24"/>
          <w:szCs w:val="24"/>
          <w:highlight w:val="green"/>
        </w:rPr>
        <w:suppressLineNumbers w:val="0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6.5. При вынесении решения соответствия инвестиционной программы техническому заданию ООО «Водоресурс»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направляет согласованный проект инвестиционной программы  в у</w:t>
      </w:r>
      <w:r>
        <w:rPr>
          <w:rFonts w:ascii="Times New Roman" w:hAnsi="Times New Roman" w:eastAsia="Times New Roman" w:cs="Times New Roman"/>
          <w:sz w:val="24"/>
          <w:szCs w:val="24"/>
          <w:highlight w:val="white"/>
        </w:rPr>
        <w:t xml:space="preserve">полномоченный орган исполнительной власти субъекта Российской Федерации в области государственного регулирования тарифов – службу по тарифам  Иркутской области,далее на согласование в Министерство ЖКХ Иркутской области.</w:t>
      </w:r>
      <w:r>
        <w:rPr>
          <w:rFonts w:ascii="Times New Roman" w:hAnsi="Times New Roman" w:cs="Times New Roman"/>
          <w:sz w:val="24"/>
          <w:szCs w:val="24"/>
          <w:highlight w:val="green"/>
        </w:rPr>
      </w:r>
      <w:r>
        <w:rPr>
          <w:rFonts w:ascii="Times New Roman" w:hAnsi="Times New Roman" w:cs="Times New Roman"/>
          <w:sz w:val="24"/>
          <w:szCs w:val="24"/>
          <w:highlight w:val="green"/>
        </w:rPr>
      </w:r>
    </w:p>
    <w:p>
      <w:pPr>
        <w:ind w:left="0" w:right="0" w:firstLine="0"/>
        <w:jc w:val="both"/>
        <w:spacing w:after="0" w:line="240" w:lineRule="auto"/>
        <w:rPr>
          <w:b w:val="0"/>
          <w:bCs w:val="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left="0" w:right="0" w:firstLine="0"/>
        <w:jc w:val="center"/>
        <w:spacing w:after="0" w:line="240" w:lineRule="auto"/>
        <w:rPr>
          <w:b w:val="0"/>
          <w:bCs w:val="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VI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I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. Финансовые потребности на реализацию инвестиционной программы</w:t>
      </w:r>
      <w:r>
        <w:rPr>
          <w:b w:val="0"/>
          <w:bCs w:val="0"/>
          <w:sz w:val="24"/>
          <w:szCs w:val="24"/>
        </w:rPr>
      </w:r>
    </w:p>
    <w:p>
      <w:pPr>
        <w:ind w:left="0" w:right="0" w:firstLine="0"/>
        <w:jc w:val="center"/>
        <w:spacing w:after="0" w:line="240" w:lineRule="auto"/>
        <w:rPr>
          <w:b w:val="0"/>
          <w:bCs w:val="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1060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  <w:highlight w:val="white"/>
        </w:rPr>
        <w:suppressLineNumbers w:val="0"/>
      </w:pPr>
      <w:r>
        <w:rPr>
          <w:rFonts w:eastAsia="Times New Roman" w:cs="Times New Roman"/>
          <w:sz w:val="24"/>
          <w:szCs w:val="24"/>
          <w:highlight w:val="none"/>
        </w:rPr>
        <w:t xml:space="preserve">7</w:t>
      </w:r>
      <w:r>
        <w:rPr>
          <w:rFonts w:eastAsia="Times New Roman" w:cs="Times New Roman"/>
          <w:sz w:val="24"/>
          <w:szCs w:val="24"/>
          <w:highlight w:val="white"/>
        </w:rPr>
        <w:t xml:space="preserve">.1</w:t>
      </w:r>
      <w:r>
        <w:rPr>
          <w:rFonts w:eastAsia="Times New Roman" w:cs="Times New Roman"/>
          <w:sz w:val="24"/>
          <w:szCs w:val="24"/>
          <w:highlight w:val="white"/>
        </w:rPr>
        <w:t xml:space="preserve">. Объем финансовых потребностей на реализацию инвестиционной программы необходимо определять посредством суммирования финансовых потребностей на реализацию каждого мероприятия инвестиционной программы.</w:t>
      </w:r>
      <w:r>
        <w:rPr>
          <w:rFonts w:ascii="Times New Roman" w:hAnsi="Times New Roman" w:cs="Times New Roman"/>
          <w:sz w:val="24"/>
          <w:szCs w:val="24"/>
          <w:highlight w:val="white"/>
        </w:rPr>
      </w:r>
      <w:r>
        <w:rPr>
          <w:rFonts w:ascii="Times New Roman" w:hAnsi="Times New Roman" w:cs="Times New Roman"/>
          <w:sz w:val="24"/>
          <w:szCs w:val="24"/>
          <w:highlight w:val="white"/>
        </w:rPr>
      </w:r>
    </w:p>
    <w:p>
      <w:pPr>
        <w:pStyle w:val="1060"/>
        <w:ind w:firstLine="720"/>
        <w:jc w:val="both"/>
        <w:spacing w:line="240" w:lineRule="auto"/>
        <w:rPr>
          <w:rFonts w:ascii="Times New Roman" w:hAnsi="Times New Roman" w:cs="Times New Roman"/>
          <w:sz w:val="24"/>
          <w:szCs w:val="24"/>
        </w:rPr>
        <w:suppressLineNumbers w:val="0"/>
      </w:pPr>
      <w:r>
        <w:rPr>
          <w:rFonts w:eastAsia="Times New Roman" w:cs="Times New Roman"/>
          <w:sz w:val="24"/>
          <w:szCs w:val="24"/>
          <w:highlight w:val="none"/>
        </w:rPr>
        <w:t xml:space="preserve">7</w:t>
      </w:r>
      <w:r>
        <w:rPr>
          <w:rFonts w:eastAsia="Times New Roman" w:cs="Times New Roman"/>
          <w:sz w:val="24"/>
          <w:szCs w:val="24"/>
          <w:highlight w:val="white"/>
        </w:rPr>
        <w:t xml:space="preserve">.2.</w:t>
      </w:r>
      <w:r>
        <w:rPr>
          <w:rFonts w:eastAsia="Times New Roman" w:cs="Times New Roman"/>
          <w:sz w:val="24"/>
          <w:szCs w:val="24"/>
        </w:rPr>
        <w:t xml:space="preserve"> В инвестиционной программе необходимо привести распределение финансовых потребностей по определенным источникам финансирования, в том числе с распределением по годам и этапам реализации инвестиционной программы.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left="0" w:right="0" w:firstLine="0"/>
        <w:jc w:val="center"/>
        <w:spacing w:after="0" w:line="240" w:lineRule="auto"/>
        <w:rPr>
          <w:b w:val="0"/>
          <w:bCs w:val="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ind w:left="0" w:right="0" w:firstLine="0"/>
        <w:jc w:val="center"/>
        <w:spacing w:after="0" w:line="240" w:lineRule="auto"/>
        <w:rPr>
          <w:b w:val="0"/>
          <w:bCs w:val="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VII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I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. Перечень мероприятий по строительству, реконструкции и модернизации объектов централизованной системы холодного водоснабжения на территории муниципального образования Тайшетского городского поселения на 2025-2028 годы (магистральные водопроводные сети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), подлежащих 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t xml:space="preserve">включению в инвестиционную программу</w:t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</w:rPr>
      </w:r>
    </w:p>
    <w:p>
      <w:pPr>
        <w:ind w:left="0" w:right="0" w:firstLine="0"/>
        <w:jc w:val="center"/>
        <w:spacing w:after="0" w:line="240" w:lineRule="auto"/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  <w:highlight w:val="none"/>
        </w:rPr>
      </w:r>
    </w:p>
    <w:p>
      <w:pPr>
        <w:ind w:left="0" w:right="0" w:firstLine="720"/>
        <w:jc w:val="both"/>
        <w:spacing w:after="0" w:line="240" w:lineRule="auto"/>
        <w:rPr>
          <w:rFonts w:ascii="Times New Roman" w:hAnsi="Times New Roman" w:eastAsia="Times New Roman" w:cs="Times New Roman"/>
          <w:color w:val="000000"/>
          <w:sz w:val="24"/>
          <w:szCs w:val="24"/>
          <w:highlight w:val="none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color w:val="000000"/>
          <w:sz w:val="24"/>
          <w:szCs w:val="24"/>
        </w:rPr>
        <w:t xml:space="preserve">8.1. Перечень мероприятий по строительству,реконструкции объектов капитального строительства централизованных систем водоснабжения, подлежащих включению в инвестиционную программу  приведен ниже в таблице 4.</w:t>
      </w:r>
      <w:r>
        <w:rPr>
          <w:rFonts w:ascii="Times New Roman" w:hAnsi="Times New Roman" w:eastAsia="Times New Roman" w:cs="Times New Roman"/>
          <w:color w:val="000000"/>
          <w:sz w:val="24"/>
          <w:szCs w:val="24"/>
        </w:rPr>
      </w:r>
      <w:r>
        <w:rPr>
          <w:rFonts w:ascii="Times New Roman" w:hAnsi="Times New Roman" w:eastAsia="Times New Roman" w:cs="Times New Roman"/>
          <w:color w:val="000000"/>
          <w:sz w:val="24"/>
          <w:szCs w:val="24"/>
          <w:highlight w:val="none"/>
        </w:rPr>
      </w:r>
    </w:p>
    <w:p>
      <w:pPr>
        <w:ind w:firstLine="709"/>
        <w:jc w:val="right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  <w:t xml:space="preserve">Таблица 4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ind w:firstLine="709"/>
        <w:jc w:val="center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color w:val="000000"/>
          <w:sz w:val="24"/>
        </w:rPr>
        <w:t xml:space="preserve">Перечень мероприятий по строительству,реконструкции объектов капитального строительства централизованных систем водоснабжения , подлежащих включению в инвестиционную программу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tbl>
      <w:tblPr>
        <w:tblStyle w:val="934"/>
        <w:tblW w:w="0" w:type="auto"/>
        <w:tblInd w:w="-175" w:type="dxa"/>
        <w:tbl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  <w:insideH w:val="none" w:color="000000" w:sz="4" w:space="0"/>
          <w:insideV w:val="non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543"/>
        <w:gridCol w:w="567"/>
        <w:gridCol w:w="850"/>
        <w:gridCol w:w="992"/>
        <w:gridCol w:w="850"/>
        <w:gridCol w:w="850"/>
        <w:gridCol w:w="709"/>
        <w:gridCol w:w="850"/>
      </w:tblGrid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67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п/п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3543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Объект реконструкции модернизации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67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ед. изм.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b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Кол.реконструируемой сети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Год ввода в эксплуатацию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3260" w:type="dxa"/>
            <w:vAlign w:val="bottom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Объект реконструкции, модернизации по годам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567" w:type="dxa"/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W w:w="850" w:type="dxa"/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vMerge w:val="continue"/>
            <w:textDirection w:val="lrTb"/>
            <w:noWrap w:val="false"/>
          </w:tcPr>
          <w:p>
            <w:r/>
            <w:r/>
            <w:r/>
          </w:p>
        </w:tc>
        <w:tc>
          <w:tcPr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2025г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2026г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2027г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2028г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67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</w:p>
        </w:tc>
        <w:tc>
          <w:tcPr>
            <w:gridSpan w:val="8"/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9213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color w:val="000000"/>
                <w:spacing w:val="2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Перечень объектов по реконструкции  централизованных систем водоснабжения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67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1.1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3543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after="0"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  <w:szCs w:val="24"/>
              </w:rPr>
              <w:t xml:space="preserve">Участок 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  <w:szCs w:val="24"/>
                <w:highlight w:val="white"/>
              </w:rPr>
              <w:t xml:space="preserve">водопроводной сети от ВК-78 до ТК-2-7, по ул. Бурлова, г. Тайшет Иркутской области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  <w:szCs w:val="24"/>
              </w:rPr>
              <w:t xml:space="preserve">,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  <w:szCs w:val="24"/>
                <w:highlight w:val="white"/>
              </w:rPr>
              <w:t xml:space="preserve">ПЭ ∅110 мм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  <w:szCs w:val="24"/>
                <w:highlight w:val="none"/>
              </w:rPr>
              <w:t xml:space="preserve">.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567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м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73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992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2027г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2026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67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1.2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3543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color w:val="000000"/>
                <w:spacing w:val="2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 Участок водопроводной сети сети от водозабора «Староакульшетский» до насосной станции 3 подъема(от ВК-7 до ВК-8   ),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  <w:szCs w:val="24"/>
                <w:highlight w:val="white"/>
              </w:rPr>
              <w:t xml:space="preserve">ПЭ- ∅400мм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567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м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1856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992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2028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after="0"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2027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</w:tr>
      <w:tr>
        <w:tblPrEx/>
        <w:trPr>
          <w:trHeight w:val="238"/>
        </w:trPr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67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9213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after="0"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Перечень объектов по строительству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 централизованных систем водоснабжения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67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3543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Строительство сетей для многоквартирного жилого дома, город Тайшет, ул.Зои Космодемьянской, дом 4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  <w:p>
            <w:pPr>
              <w:ind w:left="-57" w:right="-57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  <w:szCs w:val="24"/>
                <w:highlight w:val="white"/>
              </w:rPr>
              <w:t xml:space="preserve">ПЭ ∅110 мм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pacing w:val="2"/>
                <w:sz w:val="24"/>
                <w:szCs w:val="24"/>
                <w:highlight w:val="none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567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м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82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992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2027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2027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67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rFonts w:ascii="Times New Roman" w:hAnsi="Times New Roman" w:eastAsia="Times New Roman" w:cs="Times New Roman"/>
                <w:color w:val="000000"/>
                <w:sz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9213" w:type="dxa"/>
            <w:vAlign w:val="center"/>
            <w:vMerge w:val="restart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Перечень мероприятий, обусловленных необходимостью соблюдения регулируемыми организациями обязательных требований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tcMar>
              <w:left w:w="108" w:type="dxa"/>
              <w:top w:w="0" w:type="dxa"/>
              <w:right w:w="108" w:type="dxa"/>
              <w:bottom w:w="0" w:type="dxa"/>
            </w:tcMar>
            <w:tcW w:w="567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3.1.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3543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Разработка мероприятий по приведению качества воды в соответствие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567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шт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1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992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2026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  <w:t xml:space="preserve">2025</w:t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rFonts w:ascii="Times New Roman" w:hAnsi="Times New Roman" w:eastAsia="Times New Roman" w:cs="Times New Roman"/>
                <w:b w:val="0"/>
                <w:bCs w:val="0"/>
                <w:color w:val="00000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709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  <w:tc>
          <w:tcPr>
            <w:tcBorders>
              <w:top w:val="single" w:color="000000" w:sz="6" w:space="0"/>
              <w:left w:val="none" w:color="000000" w:sz="4" w:space="0"/>
              <w:bottom w:val="single" w:color="000000" w:sz="6" w:space="0"/>
              <w:right w:val="single" w:color="000000" w:sz="6" w:space="0"/>
            </w:tcBorders>
            <w:tcMar>
              <w:left w:w="0" w:type="dxa"/>
              <w:top w:w="0" w:type="dxa"/>
              <w:right w:w="108" w:type="dxa"/>
              <w:bottom w:w="0" w:type="dxa"/>
            </w:tcMar>
            <w:tcW w:w="850" w:type="dxa"/>
            <w:vAlign w:val="center"/>
            <w:textDirection w:val="lrTb"/>
            <w:noWrap w:val="false"/>
          </w:tcPr>
          <w:p>
            <w:pPr>
              <w:ind w:left="-57" w:right="-57" w:firstLine="0"/>
              <w:jc w:val="center"/>
              <w:spacing w:line="240" w:lineRule="auto"/>
              <w:rPr>
                <w:b w:val="0"/>
                <w:bCs w:val="0"/>
                <w:sz w:val="24"/>
                <w:szCs w:val="24"/>
              </w:rPr>
              <w:pBdr>
                <w:top w:val="none" w:color="000000" w:sz="4" w:space="0"/>
                <w:left w:val="none" w:color="000000" w:sz="4" w:space="0"/>
                <w:bottom w:val="none" w:color="000000" w:sz="4" w:space="0"/>
                <w:right w:val="none" w:color="000000" w:sz="4" w:space="0"/>
              </w:pBdr>
              <w:suppressLineNumbers w:val="0"/>
            </w:pP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  <w:r>
              <w:rPr>
                <w:b w:val="0"/>
                <w:bCs w:val="0"/>
                <w:sz w:val="24"/>
                <w:szCs w:val="24"/>
              </w:rPr>
            </w:r>
          </w:p>
        </w:tc>
      </w:tr>
    </w:tbl>
    <w:p>
      <w:pPr>
        <w:ind w:left="0" w:right="0" w:firstLine="0"/>
        <w:jc w:val="center"/>
        <w:spacing w:after="0" w:line="240" w:lineRule="auto"/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  <w:pBdr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pBdr>
        <w:suppressLineNumbers w:val="0"/>
      </w:pP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</w:r>
      <w:r>
        <w:rPr>
          <w:rFonts w:ascii="Times New Roman" w:hAnsi="Times New Roman" w:eastAsia="Times New Roman" w:cs="Times New Roman"/>
          <w:b w:val="0"/>
          <w:bCs w:val="0"/>
          <w:color w:val="000000"/>
          <w:sz w:val="24"/>
          <w:szCs w:val="24"/>
        </w:rPr>
      </w:r>
    </w:p>
    <w:p>
      <w:pPr>
        <w:pStyle w:val="1060"/>
        <w:ind w:firstLine="0"/>
        <w:jc w:val="center"/>
        <w:spacing w:line="240" w:lineRule="auto"/>
        <w:rPr>
          <w:sz w:val="24"/>
          <w:szCs w:val="24"/>
          <w:highlight w:val="none"/>
        </w:rPr>
        <w:suppressLineNumbers w:val="0"/>
      </w:pPr>
      <w:r>
        <w:rPr>
          <w:b w:val="0"/>
          <w:bCs w:val="0"/>
          <w:sz w:val="24"/>
          <w:szCs w:val="24"/>
        </w:rPr>
        <w:t xml:space="preserve">IX.</w:t>
      </w:r>
      <w:r>
        <w:rPr>
          <w:b w:val="0"/>
          <w:bCs w:val="0"/>
          <w:sz w:val="24"/>
          <w:szCs w:val="24"/>
        </w:rPr>
        <w:t xml:space="preserve"> Форма предоставления инвестиционной программы.</w:t>
      </w: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  <w:highlight w:val="none"/>
        </w:rPr>
      </w:r>
    </w:p>
    <w:p>
      <w:pPr>
        <w:pStyle w:val="1060"/>
        <w:ind w:firstLine="0"/>
        <w:jc w:val="center"/>
        <w:spacing w:line="240" w:lineRule="auto"/>
        <w:rPr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1060"/>
        <w:contextualSpacing/>
        <w:ind w:firstLine="720"/>
        <w:jc w:val="both"/>
        <w:spacing w:before="0" w:after="0" w:line="240" w:lineRule="auto"/>
        <w:tabs>
          <w:tab w:val="left" w:pos="0" w:leader="none"/>
          <w:tab w:val="clear" w:pos="708" w:leader="none"/>
        </w:tabs>
        <w:rPr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Инвестиционной программы представляется на бумажном и электронном носителях.</w:t>
      </w:r>
      <w:r>
        <w:rPr>
          <w:sz w:val="24"/>
          <w:szCs w:val="24"/>
        </w:rPr>
        <w:t xml:space="preserve">»</w:t>
      </w:r>
      <w:r>
        <w:rPr>
          <w:sz w:val="24"/>
          <w:szCs w:val="24"/>
        </w:rPr>
      </w:r>
    </w:p>
    <w:p>
      <w:pPr>
        <w:pStyle w:val="1060"/>
        <w:ind w:firstLine="0"/>
        <w:jc w:val="both"/>
        <w:spacing w:line="240" w:lineRule="auto"/>
        <w:rPr>
          <w:b/>
          <w:bCs/>
          <w:sz w:val="24"/>
          <w:szCs w:val="24"/>
          <w:highlight w:val="none"/>
        </w:rPr>
        <w:suppressLineNumbers w:val="0"/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  <w:highlight w:val="none"/>
        </w:rPr>
      </w:r>
    </w:p>
    <w:p>
      <w:pPr>
        <w:ind w:firstLine="0"/>
        <w:jc w:val="both"/>
        <w:spacing w:line="240" w:lineRule="auto"/>
        <w:rPr>
          <w:b w:val="0"/>
          <w:bCs w:val="0"/>
          <w:sz w:val="24"/>
          <w:szCs w:val="24"/>
          <w:highlight w:val="none"/>
        </w:rPr>
        <w:suppressLineNumbers w:val="0"/>
      </w:pP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  <w:highlight w:val="none"/>
        </w:rPr>
      </w:r>
    </w:p>
    <w:p>
      <w:pPr>
        <w:pStyle w:val="1060"/>
        <w:ind w:firstLine="0"/>
        <w:jc w:val="both"/>
        <w:spacing w:line="240" w:lineRule="auto"/>
        <w:rPr>
          <w:b w:val="0"/>
          <w:bCs w:val="0"/>
          <w:sz w:val="24"/>
          <w:szCs w:val="24"/>
          <w:highlight w:val="none"/>
        </w:rPr>
        <w:suppressLineNumbers w:val="0"/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  <w:highlight w:val="none"/>
        </w:rPr>
      </w:r>
      <w:r>
        <w:rPr>
          <w:b w:val="0"/>
          <w:bCs w:val="0"/>
          <w:sz w:val="24"/>
          <w:szCs w:val="24"/>
          <w:highlight w:val="none"/>
        </w:rPr>
      </w:r>
    </w:p>
    <w:p>
      <w:pPr>
        <w:pStyle w:val="1060"/>
        <w:ind w:firstLine="0"/>
        <w:jc w:val="both"/>
        <w:spacing w:line="240" w:lineRule="auto"/>
        <w:rPr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1060"/>
        <w:ind w:firstLine="0"/>
        <w:jc w:val="both"/>
        <w:spacing w:line="240" w:lineRule="auto"/>
        <w:rPr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  <w:t xml:space="preserve">Начальник отдела по организационной работе, 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1060"/>
        <w:ind w:firstLine="0"/>
        <w:jc w:val="both"/>
        <w:spacing w:line="240" w:lineRule="auto"/>
        <w:rPr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контролю и делопроизводству администрации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p>
      <w:pPr>
        <w:pStyle w:val="1060"/>
        <w:ind w:firstLine="0"/>
        <w:jc w:val="both"/>
        <w:spacing w:line="240" w:lineRule="auto"/>
        <w:rPr>
          <w:sz w:val="24"/>
          <w:szCs w:val="24"/>
        </w:rPr>
        <w:suppressLineNumbers w:val="0"/>
      </w:pPr>
      <w:r>
        <w:rPr>
          <w:b w:val="0"/>
          <w:bCs w:val="0"/>
          <w:sz w:val="24"/>
          <w:szCs w:val="24"/>
        </w:rPr>
        <w:t xml:space="preserve">Тайшетского городского поселения </w:t>
        <w:tab/>
        <w:tab/>
        <w:tab/>
        <w:tab/>
        <w:tab/>
        <w:t xml:space="preserve">В.Д. Бычкова</w:t>
      </w:r>
      <w:r>
        <w:rPr>
          <w:b w:val="0"/>
          <w:bCs w:val="0"/>
          <w:sz w:val="24"/>
          <w:szCs w:val="24"/>
        </w:rPr>
      </w:r>
      <w:r>
        <w:rPr>
          <w:b w:val="0"/>
          <w:bCs w:val="0"/>
          <w:sz w:val="24"/>
          <w:szCs w:val="24"/>
        </w:rPr>
      </w:r>
    </w:p>
    <w:sectPr>
      <w:headerReference w:type="default" r:id="rId9"/>
      <w:headerReference w:type="even" r:id="rId10"/>
      <w:footerReference w:type="default" r:id="rId11"/>
      <w:footnotePr/>
      <w:endnotePr/>
      <w:type w:val="nextPage"/>
      <w:pgSz w:w="11906" w:h="16838" w:orient="portrait"/>
      <w:pgMar w:top="1134" w:right="850" w:bottom="1134" w:left="1701" w:header="720" w:footer="0" w:gutter="0"/>
      <w:cols w:num="1" w:sep="0" w:space="1701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ahoma">
    <w:panose1 w:val="020B0604030504040204"/>
  </w:font>
  <w:font w:name="Cambria">
    <w:panose1 w:val="02040503050406030204"/>
  </w:font>
  <w:font w:name="PT Astra Serif">
    <w:panose1 w:val="020A0603040505020204"/>
  </w:font>
  <w:font w:name="Arial">
    <w:panose1 w:val="020B0604020202020204"/>
  </w:font>
  <w:font w:name="Arial Unicode MS">
    <w:panose1 w:val="020B0604020202020204"/>
  </w:font>
  <w:font w:name="Times New Roman">
    <w:panose1 w:val="020206030504050203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114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113"/>
    </w:pP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0" distR="0" simplePos="0" relativeHeight="14" behindDoc="1" locked="0" layoutInCell="0" allowOverlap="1">
              <wp:simplePos x="0" y="0"/>
              <wp:positionH relativeFrom="page">
                <wp:posOffset>9964420</wp:posOffset>
              </wp:positionH>
              <wp:positionV relativeFrom="page">
                <wp:posOffset>3973830</wp:posOffset>
              </wp:positionV>
              <wp:extent cx="727710" cy="329565"/>
              <wp:effectExtent l="0" t="0" r="0" b="0"/>
              <wp:wrapNone/>
              <wp:docPr id="1" name="_x005F_x0000_s205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Pr id="0" name=""/>
                    <wps:cNvSpPr/>
                    <wps:spPr bwMode="auto">
                      <a:xfrm>
                        <a:off x="0" y="0"/>
                        <a:ext cx="727560" cy="329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1060"/>
                            <w:pBdr>
                              <w:bottom w:val="single" w:color="000000" w:sz="4" w:space="1"/>
                            </w:pBdr>
                          </w:pPr>
                          <w:r/>
                          <w:r/>
                        </w:p>
                        <w:p>
                          <w:pPr>
                            <w:pStyle w:val="1060"/>
                            <w:pBdr>
                              <w:bottom w:val="single" w:color="000000" w:sz="4" w:space="1"/>
                            </w:pBdr>
                          </w:pPr>
                          <w:r/>
                          <w:r/>
                        </w:p>
                        <w:p>
                          <w:pPr>
                            <w:pStyle w:val="1060"/>
                            <w:pBdr>
                              <w:bottom w:val="single" w:color="000000" w:sz="4" w:space="1"/>
                            </w:pBdr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 xml:space="preserve">8</w:t>
                          </w:r>
                          <w:r>
                            <w:fldChar w:fldCharType="end"/>
                          </w:r>
                          <w:r/>
                        </w:p>
                        <w:p>
                          <w:pPr>
                            <w:pStyle w:val="1060"/>
                          </w:pPr>
                          <w:r/>
                          <w:r/>
                        </w:p>
                      </w:txbxContent>
                    </wps:txbx>
                    <wps:bodyPr vert="vert" lIns="45720" tIns="91440" rIns="45720" bIns="91440" anchor="t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shape 0" o:spid="_x0000_s0" o:spt="1" type="#_x0000_t1" style="position:absolute;z-index:-14;o:allowoverlap:true;o:allowincell:false;mso-position-horizontal-relative:page;margin-left:784.60pt;mso-position-horizontal:absolute;mso-position-vertical-relative:page;margin-top:312.90pt;mso-position-vertical:absolute;width:57.30pt;height:25.95pt;mso-wrap-distance-left:0.00pt;mso-wrap-distance-top:0.00pt;mso-wrap-distance-right:0.00pt;mso-wrap-distance-bottom:0.00pt;v-text-anchor:top;visibility:visible;" fillcolor="#FFFFFF" stroked="f" strokeweight="0.00pt">
              <v:textbox inset="0,0,0,0">
                <w:txbxContent>
                  <w:p>
                    <w:pPr>
                      <w:pStyle w:val="1060"/>
                      <w:pBdr>
                        <w:bottom w:val="single" w:color="000000" w:sz="4" w:space="1"/>
                      </w:pBdr>
                    </w:pPr>
                    <w:r/>
                    <w:r/>
                  </w:p>
                  <w:p>
                    <w:pPr>
                      <w:pStyle w:val="1060"/>
                      <w:pBdr>
                        <w:bottom w:val="single" w:color="000000" w:sz="4" w:space="1"/>
                      </w:pBdr>
                    </w:pPr>
                    <w:r/>
                    <w:r/>
                  </w:p>
                  <w:p>
                    <w:pPr>
                      <w:pStyle w:val="1060"/>
                      <w:pBdr>
                        <w:bottom w:val="single" w:color="000000" w:sz="4" w:space="1"/>
                      </w:pBdr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 xml:space="preserve">8</w:t>
                    </w:r>
                    <w:r>
                      <w:fldChar w:fldCharType="end"/>
                    </w:r>
                    <w:r/>
                  </w:p>
                  <w:p>
                    <w:pPr>
                      <w:pStyle w:val="1060"/>
                    </w:pPr>
                    <w:r/>
                    <w:r/>
                  </w:p>
                </w:txbxContent>
              </v:textbox>
            </v:shape>
          </w:pict>
        </mc:Fallback>
      </mc:AlternateContent>
    </w:r>
    <w:r/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113"/>
    </w:pP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0" distR="0" simplePos="0" relativeHeight="16" behindDoc="1" locked="0" layoutInCell="0" allowOverlap="1">
              <wp:simplePos x="0" y="0"/>
              <wp:positionH relativeFrom="page">
                <wp:posOffset>0</wp:posOffset>
              </wp:positionH>
              <wp:positionV relativeFrom="page">
                <wp:posOffset>0</wp:posOffset>
              </wp:positionV>
              <wp:extent cx="727710" cy="329565"/>
              <wp:effectExtent l="0" t="0" r="0" b="0"/>
              <wp:wrapNone/>
              <wp:docPr id="2" name="_x005F_x0000_s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Pr id="0" name=""/>
                    <wps:cNvSpPr/>
                    <wps:spPr bwMode="auto">
                      <a:xfrm>
                        <a:off x="0" y="0"/>
                        <a:ext cx="727560" cy="329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noFill/>
                        <a:round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1060"/>
                            <w:pBdr>
                              <w:bottom w:val="single" w:color="000000" w:sz="4" w:space="1"/>
                            </w:pBdr>
                          </w:pPr>
                          <w:r/>
                          <w:r/>
                        </w:p>
                        <w:p>
                          <w:pPr>
                            <w:pStyle w:val="1060"/>
                            <w:pBdr>
                              <w:bottom w:val="single" w:color="000000" w:sz="4" w:space="1"/>
                            </w:pBdr>
                          </w:pPr>
                          <w:r/>
                          <w:r/>
                        </w:p>
                        <w:p>
                          <w:pPr>
                            <w:pStyle w:val="1060"/>
                            <w:pBdr>
                              <w:bottom w:val="single" w:color="000000" w:sz="4" w:space="1"/>
                            </w:pBdr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 xml:space="preserve">0</w:t>
                          </w:r>
                          <w:r>
                            <w:fldChar w:fldCharType="end"/>
                          </w:r>
                          <w:r/>
                        </w:p>
                        <w:p>
                          <w:pPr>
                            <w:pStyle w:val="1060"/>
                          </w:pPr>
                          <w:r/>
                          <w:r/>
                        </w:p>
                      </w:txbxContent>
                    </wps:txbx>
                    <wps:bodyPr vert="vert" lIns="45720" tIns="91440" rIns="45720" bIns="91440" anchor="t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shape 1" o:spid="_x0000_s1" o:spt="1" type="#_x0000_t1" style="position:absolute;z-index:-16;o:allowoverlap:true;o:allowincell:false;mso-position-horizontal-relative:page;margin-left:0.00pt;mso-position-horizontal:absolute;mso-position-vertical-relative:page;margin-top:0.00pt;mso-position-vertical:absolute;width:57.30pt;height:25.95pt;mso-wrap-distance-left:0.00pt;mso-wrap-distance-top:0.00pt;mso-wrap-distance-right:0.00pt;mso-wrap-distance-bottom:0.00pt;v-text-anchor:top;visibility:visible;" fillcolor="#FFFFFF" stroked="f" strokeweight="0.00pt">
              <v:textbox inset="0,0,0,0">
                <w:txbxContent>
                  <w:p>
                    <w:pPr>
                      <w:pStyle w:val="1060"/>
                      <w:pBdr>
                        <w:bottom w:val="single" w:color="000000" w:sz="4" w:space="1"/>
                      </w:pBdr>
                    </w:pPr>
                    <w:r/>
                    <w:r/>
                  </w:p>
                  <w:p>
                    <w:pPr>
                      <w:pStyle w:val="1060"/>
                      <w:pBdr>
                        <w:bottom w:val="single" w:color="000000" w:sz="4" w:space="1"/>
                      </w:pBdr>
                    </w:pPr>
                    <w:r/>
                    <w:r/>
                  </w:p>
                  <w:p>
                    <w:pPr>
                      <w:pStyle w:val="1060"/>
                      <w:pBdr>
                        <w:bottom w:val="single" w:color="000000" w:sz="4" w:space="1"/>
                      </w:pBdr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 xml:space="preserve">0</w:t>
                    </w:r>
                    <w:r>
                      <w:fldChar w:fldCharType="end"/>
                    </w:r>
                    <w:r/>
                  </w:p>
                  <w:p>
                    <w:pPr>
                      <w:pStyle w:val="1060"/>
                    </w:pPr>
                    <w:r/>
                    <w:r/>
                  </w:p>
                </w:txbxContent>
              </v:textbox>
            </v:shape>
          </w:pict>
        </mc:Fallback>
      </mc:AlternateContent>
    </w:r>
    <w:r>
      <mc:AlternateContent>
        <mc:Choice Requires="wpg">
          <w:drawing>
            <wp:anchor xmlns:wp="http://schemas.openxmlformats.org/drawingml/2006/wordprocessingDrawing" xmlns:wp14="http://schemas.microsoft.com/office/word/2010/wordprocessingDrawing" distT="0" distB="0" distL="0" distR="0" simplePos="0" relativeHeight="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14605" cy="14605"/>
              <wp:effectExtent l="0" t="0" r="0" b="0"/>
              <wp:wrapSquare wrapText="bothSides"/>
              <wp:docPr id="3" name="Врезка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Pr id="0" name=""/>
                    <wps:cNvSpPr txBox="1"/>
                    <wps:spPr bwMode="auto">
                      <a:xfrm>
                        <a:off x="0" y="0"/>
                        <a:ext cx="14605" cy="1460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1113"/>
                            <w:rPr>
                              <w:rStyle w:val="1096"/>
                            </w:rPr>
                          </w:pPr>
                          <w:r>
                            <w:rPr>
                              <w:rStyle w:val="1096"/>
                            </w:rPr>
                            <w:fldChar w:fldCharType="begin"/>
                          </w:r>
                          <w:r>
                            <w:rPr>
                              <w:rStyle w:val="1096"/>
                            </w:rPr>
                            <w:instrText xml:space="preserve"> PAGE </w:instrText>
                          </w:r>
                          <w:r>
                            <w:rPr>
                              <w:rStyle w:val="1096"/>
                            </w:rPr>
                            <w:fldChar w:fldCharType="separate"/>
                          </w:r>
                          <w:r>
                            <w:rPr>
                              <w:rStyle w:val="1096"/>
                            </w:rPr>
                            <w:t xml:space="preserve">0</w:t>
                          </w:r>
                          <w:r>
                            <w:rPr>
                              <w:rStyle w:val="1096"/>
                            </w:rPr>
                            <w:fldChar w:fldCharType="end"/>
                          </w:r>
                          <w:r>
                            <w:rPr>
                              <w:rStyle w:val="1096"/>
                            </w:rPr>
                          </w:r>
                          <w:r>
                            <w:rPr>
                              <w:rStyle w:val="1096"/>
                            </w:rPr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shape 2" o:spid="_x0000_s2" o:spt="202" type="#_x0000_t202" style="position:absolute;z-index:0;o:allowoverlap:true;o:allowincell:true;mso-position-horizontal-relative:margin;mso-position-horizontal:center;mso-position-vertical-relative:text;margin-top:0.05pt;mso-position-vertical:absolute;width:1.15pt;height:1.15pt;mso-wrap-distance-left:0.00pt;mso-wrap-distance-top:0.00pt;mso-wrap-distance-right:0.00pt;mso-wrap-distance-bottom:0.00pt;v-text-anchor:top;visibility:visible;" fillcolor="#FFFFFF">
              <v:fill opacity="100f"/>
              <w10:wrap type="square"/>
              <v:textbox inset="0,0,0,0">
                <w:txbxContent>
                  <w:p>
                    <w:pPr>
                      <w:pStyle w:val="1113"/>
                      <w:rPr>
                        <w:rStyle w:val="1096"/>
                      </w:rPr>
                    </w:pPr>
                    <w:r>
                      <w:rPr>
                        <w:rStyle w:val="1096"/>
                      </w:rPr>
                      <w:fldChar w:fldCharType="begin"/>
                    </w:r>
                    <w:r>
                      <w:rPr>
                        <w:rStyle w:val="1096"/>
                      </w:rPr>
                      <w:instrText xml:space="preserve"> PAGE </w:instrText>
                    </w:r>
                    <w:r>
                      <w:rPr>
                        <w:rStyle w:val="1096"/>
                      </w:rPr>
                      <w:fldChar w:fldCharType="separate"/>
                    </w:r>
                    <w:r>
                      <w:rPr>
                        <w:rStyle w:val="1096"/>
                      </w:rPr>
                      <w:t xml:space="preserve">0</w:t>
                    </w:r>
                    <w:r>
                      <w:rPr>
                        <w:rStyle w:val="1096"/>
                      </w:rPr>
                      <w:fldChar w:fldCharType="end"/>
                    </w:r>
                    <w:r>
                      <w:rPr>
                        <w:rStyle w:val="1096"/>
                      </w:rPr>
                    </w:r>
                    <w:r>
                      <w:rPr>
                        <w:rStyle w:val="1096"/>
                      </w:rPr>
                    </w:r>
                  </w:p>
                </w:txbxContent>
              </v:textbox>
            </v:shape>
          </w:pict>
        </mc:Fallback>
      </mc:AlternateContent>
    </w:r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  <w:tabs>
          <w:tab w:val="num" w:pos="0" w:leader="none"/>
        </w:tabs>
      </w:pPr>
      <w:rPr>
        <w:rFonts w:cs="Times New Roman"/>
      </w:r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  <w:tabs>
          <w:tab w:val="num" w:pos="0" w:leader="none"/>
        </w:tabs>
      </w:pPr>
      <w:rPr>
        <w:rFonts w:cs="Times New Roman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  <w:tabs>
          <w:tab w:val="num" w:pos="0" w:leader="none"/>
        </w:tabs>
      </w:pPr>
      <w:rPr>
        <w:rFonts w:cs="Times New Roman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  <w:tabs>
          <w:tab w:val="num" w:pos="0" w:leader="none"/>
        </w:tabs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0" w:leader="none"/>
        </w:tabs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  <w:tabs>
          <w:tab w:val="num" w:pos="0" w:leader="none"/>
        </w:tabs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  <w:tabs>
          <w:tab w:val="num" w:pos="0" w:leader="none"/>
        </w:tabs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  <w:tabs>
          <w:tab w:val="num" w:pos="0" w:leader="none"/>
        </w:tabs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  <w:tabs>
          <w:tab w:val="num" w:pos="0" w:leader="none"/>
        </w:tabs>
      </w:pPr>
      <w:rPr>
        <w:rFonts w:cs="Times New Roman"/>
      </w:rPr>
    </w:lvl>
  </w:abstractNum>
  <w:abstractNum w:abstractNumId="1">
    <w:multiLevelType w:val="hybridMultilevel"/>
    <w:lvl w:ilvl="0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1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2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3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4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5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6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7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  <w:lvl w:ilvl="8">
      <w:start w:val="1"/>
      <w:numFmt w:val="none"/>
      <w:isLgl w:val="false"/>
      <w:suff w:val="nothing"/>
      <w:lvlText w:val=""/>
      <w:lvlJc w:val="left"/>
      <w:pPr>
        <w:ind w:left="0" w:firstLine="0"/>
        <w:tabs>
          <w:tab w:val="num" w:pos="0" w:leader="none"/>
        </w:tabs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right"/>
      <w:pPr>
        <w:ind w:left="709" w:hanging="360"/>
      </w:pPr>
      <w:rPr>
        <w:rFonts w:ascii="Times New Roman" w:hAnsi="Times New Roman" w:eastAsia="Times New Roman" w:cs="Times New Roman"/>
        <w:color w:val="000000"/>
        <w:sz w:val="24"/>
      </w:rPr>
    </w:lvl>
    <w:lvl w:ilvl="1">
      <w:start w:val="1"/>
      <w:numFmt w:val="decimal"/>
      <w:isLgl w:val="false"/>
      <w:suff w:val="tab"/>
      <w:lvlText w:val="%2."/>
      <w:lvlJc w:val="right"/>
      <w:pPr>
        <w:ind w:left="1429" w:hanging="360"/>
      </w:pPr>
    </w:lvl>
    <w:lvl w:ilvl="2">
      <w:start w:val="1"/>
      <w:numFmt w:val="decimal"/>
      <w:isLgl w:val="false"/>
      <w:suff w:val="tab"/>
      <w:lvlText w:val="%3."/>
      <w:lvlJc w:val="right"/>
      <w:pPr>
        <w:ind w:left="2149" w:hanging="180"/>
      </w:pPr>
    </w:lvl>
    <w:lvl w:ilvl="3">
      <w:start w:val="1"/>
      <w:numFmt w:val="decimal"/>
      <w:isLgl w:val="false"/>
      <w:suff w:val="tab"/>
      <w:lvlText w:val="%4."/>
      <w:lvlJc w:val="right"/>
      <w:pPr>
        <w:ind w:left="2869" w:hanging="360"/>
      </w:pPr>
    </w:lvl>
    <w:lvl w:ilvl="4">
      <w:start w:val="1"/>
      <w:numFmt w:val="decimal"/>
      <w:isLgl w:val="false"/>
      <w:suff w:val="tab"/>
      <w:lvlText w:val="%5."/>
      <w:lvlJc w:val="right"/>
      <w:pPr>
        <w:ind w:left="3589" w:hanging="360"/>
      </w:pPr>
    </w:lvl>
    <w:lvl w:ilvl="5">
      <w:start w:val="1"/>
      <w:numFmt w:val="decimal"/>
      <w:isLgl w:val="false"/>
      <w:suff w:val="tab"/>
      <w:lvlText w:val="%6."/>
      <w:lvlJc w:val="right"/>
      <w:pPr>
        <w:ind w:left="4309" w:hanging="180"/>
      </w:pPr>
    </w:lvl>
    <w:lvl w:ilvl="6">
      <w:start w:val="1"/>
      <w:numFmt w:val="decimal"/>
      <w:isLgl w:val="false"/>
      <w:suff w:val="tab"/>
      <w:lvlText w:val="%7."/>
      <w:lvlJc w:val="right"/>
      <w:pPr>
        <w:ind w:left="5029" w:hanging="360"/>
      </w:pPr>
    </w:lvl>
    <w:lvl w:ilvl="7">
      <w:start w:val="1"/>
      <w:numFmt w:val="decimal"/>
      <w:isLgl w:val="false"/>
      <w:suff w:val="tab"/>
      <w:lvlText w:val="%8."/>
      <w:lvlJc w:val="right"/>
      <w:pPr>
        <w:ind w:left="5749" w:hanging="360"/>
      </w:pPr>
    </w:lvl>
    <w:lvl w:ilvl="8">
      <w:start w:val="1"/>
      <w:numFmt w:val="decimal"/>
      <w:isLgl w:val="false"/>
      <w:suff w:val="tab"/>
      <w:lvlText w:val="%9."/>
      <w:lvlJc w:val="right"/>
      <w:pPr>
        <w:ind w:left="6469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  <w:tabs>
          <w:tab w:val="num" w:pos="0" w:leader="none"/>
        </w:tabs>
      </w:pPr>
      <w:rPr>
        <w:rFonts w:cs="Times New Roman"/>
      </w:r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  <w:tabs>
          <w:tab w:val="num" w:pos="0" w:leader="none"/>
        </w:tabs>
      </w:pPr>
      <w:rPr>
        <w:rFonts w:cs="Times New Roman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  <w:tabs>
          <w:tab w:val="num" w:pos="0" w:leader="none"/>
        </w:tabs>
      </w:pPr>
      <w:rPr>
        <w:rFonts w:cs="Times New Roman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  <w:tabs>
          <w:tab w:val="num" w:pos="0" w:leader="none"/>
        </w:tabs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  <w:tabs>
          <w:tab w:val="num" w:pos="0" w:leader="none"/>
        </w:tabs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  <w:tabs>
          <w:tab w:val="num" w:pos="0" w:leader="none"/>
        </w:tabs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  <w:tabs>
          <w:tab w:val="num" w:pos="0" w:leader="none"/>
        </w:tabs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  <w:tabs>
          <w:tab w:val="num" w:pos="0" w:leader="none"/>
        </w:tabs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  <w:tabs>
          <w:tab w:val="num" w:pos="0" w:leader="none"/>
        </w:tabs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Times New Roman" w:hAnsi="Times New Roman" w:eastAsia="Arial Unicode MS" w:cs="Arial Unicode MS"/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table" w:styleId="934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935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936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937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938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939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40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941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42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43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44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45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46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47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948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49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0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1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2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3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4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5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6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7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8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59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60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61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62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963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964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965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966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967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968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969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970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971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972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973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974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975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76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77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78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79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80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81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82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83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84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85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86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87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88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89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90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91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92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93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94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95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96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97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998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999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000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001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002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003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004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05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06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07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08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09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10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11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12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13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14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15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16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17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018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019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020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021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022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023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024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025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026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027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028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029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030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031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032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033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034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035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036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037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038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039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040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041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042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043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044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045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046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047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048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049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050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051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052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053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054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055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056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057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058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059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060" w:default="1">
    <w:name w:val="Normal"/>
    <w:qFormat/>
    <w:pPr>
      <w:jc w:val="left"/>
      <w:spacing w:before="0" w:after="0"/>
      <w:widowControl/>
    </w:pPr>
    <w:rPr>
      <w:rFonts w:ascii="Times New Roman" w:hAnsi="Times New Roman" w:eastAsia="Arial Unicode MS" w:cs="Arial Unicode MS"/>
      <w:color w:val="auto"/>
      <w:sz w:val="24"/>
      <w:szCs w:val="24"/>
      <w:lang w:val="ru-RU" w:eastAsia="ru-RU" w:bidi="ar-SA"/>
    </w:rPr>
  </w:style>
  <w:style w:type="paragraph" w:styleId="1061">
    <w:name w:val="Heading 1"/>
    <w:basedOn w:val="1060"/>
    <w:qFormat/>
    <w:pPr>
      <w:keepNext/>
      <w:spacing w:before="240" w:after="60"/>
      <w:outlineLvl w:val="0"/>
    </w:pPr>
    <w:rPr>
      <w:rFonts w:ascii="Cambria" w:hAnsi="Cambria"/>
      <w:b/>
      <w:bCs/>
      <w:sz w:val="32"/>
      <w:szCs w:val="32"/>
    </w:rPr>
  </w:style>
  <w:style w:type="paragraph" w:styleId="1062">
    <w:name w:val="Heading 2"/>
    <w:basedOn w:val="1060"/>
    <w:qFormat/>
    <w:pPr>
      <w:jc w:val="center"/>
      <w:keepNext/>
      <w:spacing w:before="320" w:after="0"/>
      <w:shd w:val="clear" w:color="auto" w:fill="ffffff"/>
      <w:widowControl w:val="off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1063">
    <w:name w:val="Heading 3"/>
    <w:basedOn w:val="1060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1064">
    <w:name w:val="Heading 4"/>
    <w:basedOn w:val="106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1065">
    <w:name w:val="Heading 5"/>
    <w:basedOn w:val="1060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1066">
    <w:name w:val="Heading 6"/>
    <w:basedOn w:val="1060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1067">
    <w:name w:val="Heading 7"/>
    <w:basedOn w:val="106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1068">
    <w:name w:val="Heading 8"/>
    <w:basedOn w:val="106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1069">
    <w:name w:val="Heading 9"/>
    <w:basedOn w:val="106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1070">
    <w:name w:val="Heading 1 Char"/>
    <w:uiPriority w:val="9"/>
    <w:qFormat/>
    <w:rPr>
      <w:rFonts w:ascii="Arial" w:hAnsi="Arial" w:eastAsia="Arial" w:cs="Arial"/>
      <w:sz w:val="40"/>
      <w:szCs w:val="40"/>
    </w:rPr>
  </w:style>
  <w:style w:type="character" w:styleId="1071">
    <w:name w:val="Heading 2 Char"/>
    <w:uiPriority w:val="9"/>
    <w:qFormat/>
    <w:rPr>
      <w:rFonts w:ascii="Arial" w:hAnsi="Arial" w:eastAsia="Arial" w:cs="Arial"/>
      <w:sz w:val="34"/>
    </w:rPr>
  </w:style>
  <w:style w:type="character" w:styleId="1072">
    <w:name w:val="Heading 3 Char"/>
    <w:uiPriority w:val="9"/>
    <w:qFormat/>
    <w:rPr>
      <w:rFonts w:ascii="Arial" w:hAnsi="Arial" w:eastAsia="Arial" w:cs="Arial"/>
      <w:sz w:val="30"/>
      <w:szCs w:val="30"/>
    </w:rPr>
  </w:style>
  <w:style w:type="character" w:styleId="1073">
    <w:name w:val="Heading 4 Char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1074">
    <w:name w:val="Heading 5 Char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1075">
    <w:name w:val="Heading 6 Char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1076">
    <w:name w:val="Heading 7 Char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1077">
    <w:name w:val="Heading 8 Char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1078">
    <w:name w:val="Heading 9 Char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1079">
    <w:name w:val="Title Char"/>
    <w:uiPriority w:val="10"/>
    <w:qFormat/>
    <w:rPr>
      <w:sz w:val="48"/>
      <w:szCs w:val="48"/>
    </w:rPr>
  </w:style>
  <w:style w:type="character" w:styleId="1080">
    <w:name w:val="Subtitle Char"/>
    <w:uiPriority w:val="11"/>
    <w:qFormat/>
    <w:rPr>
      <w:sz w:val="24"/>
      <w:szCs w:val="24"/>
    </w:rPr>
  </w:style>
  <w:style w:type="character" w:styleId="1081">
    <w:name w:val="Quote Char"/>
    <w:uiPriority w:val="29"/>
    <w:qFormat/>
    <w:rPr>
      <w:i/>
    </w:rPr>
  </w:style>
  <w:style w:type="character" w:styleId="1082">
    <w:name w:val="Intense Quote Char"/>
    <w:uiPriority w:val="30"/>
    <w:qFormat/>
    <w:rPr>
      <w:i/>
    </w:rPr>
  </w:style>
  <w:style w:type="character" w:styleId="1083">
    <w:name w:val="Header Char"/>
    <w:uiPriority w:val="99"/>
    <w:qFormat/>
  </w:style>
  <w:style w:type="character" w:styleId="1084">
    <w:name w:val="Footer Char"/>
    <w:uiPriority w:val="99"/>
    <w:qFormat/>
  </w:style>
  <w:style w:type="character" w:styleId="1085">
    <w:name w:val="Caption Char"/>
    <w:uiPriority w:val="99"/>
    <w:qFormat/>
  </w:style>
  <w:style w:type="character" w:styleId="1086">
    <w:name w:val="Hyperlink"/>
    <w:uiPriority w:val="99"/>
    <w:unhideWhenUsed/>
    <w:rPr>
      <w:color w:val="0000ff" w:themeColor="hyperlink"/>
      <w:u w:val="single"/>
    </w:rPr>
  </w:style>
  <w:style w:type="character" w:styleId="1087">
    <w:name w:val="Footnote Text Char"/>
    <w:uiPriority w:val="99"/>
    <w:qFormat/>
    <w:rPr>
      <w:sz w:val="18"/>
    </w:rPr>
  </w:style>
  <w:style w:type="character" w:styleId="1088">
    <w:name w:val="Символ сноски"/>
    <w:uiPriority w:val="99"/>
    <w:unhideWhenUsed/>
    <w:qFormat/>
    <w:rPr>
      <w:vertAlign w:val="superscript"/>
    </w:rPr>
  </w:style>
  <w:style w:type="character" w:styleId="1089">
    <w:name w:val="footnote reference"/>
    <w:rPr>
      <w:vertAlign w:val="superscript"/>
    </w:rPr>
  </w:style>
  <w:style w:type="character" w:styleId="1090">
    <w:name w:val="Endnote Text Char"/>
    <w:uiPriority w:val="99"/>
    <w:qFormat/>
    <w:rPr>
      <w:sz w:val="20"/>
    </w:rPr>
  </w:style>
  <w:style w:type="character" w:styleId="1091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1092">
    <w:name w:val="endnote reference"/>
    <w:rPr>
      <w:vertAlign w:val="superscript"/>
    </w:rPr>
  </w:style>
  <w:style w:type="character" w:styleId="1093">
    <w:name w:val="Основной шрифт абзаца, Знак Знак1 Знак"/>
    <w:semiHidden/>
    <w:qFormat/>
  </w:style>
  <w:style w:type="character" w:styleId="1094">
    <w:name w:val="Заголовок 1 Знак"/>
    <w:qFormat/>
    <w:rPr>
      <w:rFonts w:ascii="Cambria" w:hAnsi="Cambria"/>
      <w:b/>
      <w:bCs/>
      <w:sz w:val="32"/>
      <w:szCs w:val="32"/>
      <w:lang w:val="ru-RU" w:eastAsia="ru-RU" w:bidi="ar-SA"/>
    </w:rPr>
  </w:style>
  <w:style w:type="character" w:styleId="1095">
    <w:name w:val="Заголовок 2 Знак"/>
    <w:semiHidden/>
    <w:qFormat/>
    <w:rPr>
      <w:rFonts w:ascii="Cambria" w:hAnsi="Cambria"/>
      <w:b/>
      <w:bCs/>
      <w:i/>
      <w:iCs/>
      <w:sz w:val="28"/>
      <w:szCs w:val="28"/>
      <w:lang w:val="ru-RU" w:eastAsia="ru-RU" w:bidi="ar-SA"/>
    </w:rPr>
  </w:style>
  <w:style w:type="character" w:styleId="1096">
    <w:name w:val="Page Number"/>
    <w:basedOn w:val="1093"/>
  </w:style>
  <w:style w:type="character" w:styleId="1097">
    <w:name w:val="Основной текст с отступом Знак"/>
    <w:qFormat/>
    <w:rPr>
      <w:sz w:val="24"/>
      <w:szCs w:val="24"/>
      <w:lang w:val="ru-RU" w:eastAsia="zh-CN" w:bidi="ar-SA"/>
    </w:rPr>
  </w:style>
  <w:style w:type="character" w:styleId="1098">
    <w:name w:val="apple-converted-space"/>
    <w:basedOn w:val="1093"/>
    <w:qFormat/>
  </w:style>
  <w:style w:type="character" w:styleId="1099">
    <w:name w:val="Нижний колонтитул Знак"/>
    <w:uiPriority w:val="99"/>
    <w:qFormat/>
    <w:rPr>
      <w:sz w:val="24"/>
      <w:szCs w:val="24"/>
    </w:rPr>
  </w:style>
  <w:style w:type="character" w:styleId="1100">
    <w:name w:val="Текст выноски Знак"/>
    <w:uiPriority w:val="99"/>
    <w:semiHidden/>
    <w:qFormat/>
    <w:rPr>
      <w:rFonts w:ascii="Tahoma" w:hAnsi="Tahoma" w:cs="Tahoma"/>
      <w:sz w:val="16"/>
      <w:szCs w:val="16"/>
    </w:rPr>
  </w:style>
  <w:style w:type="character" w:styleId="1101" w:default="1">
    <w:name w:val="Default Paragraph Font"/>
    <w:uiPriority w:val="1"/>
    <w:semiHidden/>
    <w:unhideWhenUsed/>
    <w:qFormat/>
  </w:style>
  <w:style w:type="paragraph" w:styleId="1102">
    <w:name w:val="Заголовок"/>
    <w:basedOn w:val="1060"/>
    <w:next w:val="1103"/>
    <w:qFormat/>
    <w:pPr>
      <w:keepNext/>
      <w:spacing w:before="240" w:after="120"/>
    </w:pPr>
    <w:rPr>
      <w:rFonts w:ascii="PT Astra Serif" w:hAnsi="PT Astra Serif" w:eastAsia="Arial Unicode MS" w:cs="Arial Unicode MS"/>
      <w:sz w:val="28"/>
      <w:szCs w:val="28"/>
    </w:rPr>
  </w:style>
  <w:style w:type="paragraph" w:styleId="1103" w:customStyle="1">
    <w:name w:val="Body Text"/>
    <w:basedOn w:val="1060"/>
    <w:uiPriority w:val="99"/>
    <w:pPr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u w:val="none"/>
      <w:vertAlign w:val="baseline"/>
      <w:lang w:val="ru-RU" w:eastAsia="ru-RU" w:bidi="ar-SA"/>
      <w14:ligatures w14:val="none"/>
    </w:rPr>
  </w:style>
  <w:style w:type="paragraph" w:styleId="1104">
    <w:name w:val="List"/>
    <w:basedOn w:val="1103"/>
    <w:rPr>
      <w:rFonts w:ascii="PT Astra Serif" w:hAnsi="PT Astra Serif"/>
    </w:rPr>
  </w:style>
  <w:style w:type="paragraph" w:styleId="1105">
    <w:name w:val="Caption"/>
    <w:basedOn w:val="106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paragraph" w:styleId="1106">
    <w:name w:val="Указатель"/>
    <w:basedOn w:val="1060"/>
    <w:qFormat/>
    <w:pPr>
      <w:suppressLineNumbers/>
    </w:pPr>
    <w:rPr>
      <w:rFonts w:ascii="PT Astra Serif" w:hAnsi="PT Astra Serif"/>
    </w:rPr>
  </w:style>
  <w:style w:type="paragraph" w:styleId="1107">
    <w:name w:val="No Spacing"/>
    <w:uiPriority w:val="1"/>
    <w:qFormat/>
    <w:pPr>
      <w:jc w:val="left"/>
      <w:spacing w:before="0" w:after="0" w:line="240" w:lineRule="auto"/>
      <w:widowControl/>
    </w:pPr>
    <w:rPr>
      <w:rFonts w:ascii="Times New Roman" w:hAnsi="Times New Roman" w:eastAsia="Arial Unicode MS" w:cs="Arial Unicode MS"/>
      <w:color w:val="auto"/>
      <w:sz w:val="20"/>
      <w:szCs w:val="20"/>
      <w:lang w:val="ru-RU" w:eastAsia="zh-CN" w:bidi="ar-SA"/>
    </w:rPr>
  </w:style>
  <w:style w:type="paragraph" w:styleId="1108">
    <w:name w:val="Title"/>
    <w:basedOn w:val="1060"/>
    <w:uiPriority w:val="10"/>
    <w:qFormat/>
    <w:pPr>
      <w:contextualSpacing/>
      <w:spacing w:before="300" w:after="200"/>
    </w:pPr>
    <w:rPr>
      <w:sz w:val="48"/>
      <w:szCs w:val="48"/>
    </w:rPr>
  </w:style>
  <w:style w:type="paragraph" w:styleId="1109">
    <w:name w:val="Subtitle"/>
    <w:basedOn w:val="1060"/>
    <w:uiPriority w:val="11"/>
    <w:qFormat/>
    <w:pPr>
      <w:spacing w:before="200" w:after="200"/>
    </w:pPr>
    <w:rPr>
      <w:sz w:val="24"/>
      <w:szCs w:val="24"/>
    </w:rPr>
  </w:style>
  <w:style w:type="paragraph" w:styleId="1110">
    <w:name w:val="Quote"/>
    <w:basedOn w:val="1060"/>
    <w:uiPriority w:val="29"/>
    <w:qFormat/>
    <w:pPr>
      <w:ind w:left="720" w:right="720" w:firstLine="0"/>
    </w:pPr>
    <w:rPr>
      <w:i/>
    </w:rPr>
  </w:style>
  <w:style w:type="paragraph" w:styleId="1111">
    <w:name w:val="Intense Quote"/>
    <w:basedOn w:val="1060"/>
    <w:uiPriority w:val="30"/>
    <w:qFormat/>
    <w:pPr>
      <w:ind w:left="720" w:right="720" w:firstLine="0"/>
      <w:spacing w:before="0" w:after="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1112">
    <w:name w:val="Колонтитул"/>
    <w:basedOn w:val="1060"/>
    <w:qFormat/>
  </w:style>
  <w:style w:type="paragraph" w:styleId="1113">
    <w:name w:val="Header"/>
    <w:basedOn w:val="1060"/>
    <w:uiPriority w:val="99"/>
    <w:unhideWhenUsed/>
    <w:pPr>
      <w:tabs>
        <w:tab w:val="clear" w:pos="708" w:leader="none"/>
        <w:tab w:val="center" w:pos="4677" w:leader="none"/>
        <w:tab w:val="right" w:pos="9355" w:leader="none"/>
      </w:tabs>
    </w:pPr>
  </w:style>
  <w:style w:type="paragraph" w:styleId="1114">
    <w:name w:val="Footer"/>
    <w:basedOn w:val="1060"/>
    <w:uiPriority w:val="99"/>
    <w:unhideWhenUsed/>
    <w:pPr>
      <w:tabs>
        <w:tab w:val="clear" w:pos="708" w:leader="none"/>
        <w:tab w:val="center" w:pos="4677" w:leader="none"/>
        <w:tab w:val="right" w:pos="9355" w:leader="none"/>
      </w:tabs>
    </w:pPr>
    <w:rPr>
      <w:lang w:val="en-US" w:eastAsia="en-US"/>
    </w:rPr>
  </w:style>
  <w:style w:type="paragraph" w:styleId="1115">
    <w:name w:val="footnote text"/>
    <w:basedOn w:val="1060"/>
    <w:uiPriority w:val="99"/>
    <w:semiHidden/>
    <w:unhideWhenUsed/>
    <w:pPr>
      <w:spacing w:before="0" w:after="40" w:line="240" w:lineRule="auto"/>
    </w:pPr>
    <w:rPr>
      <w:sz w:val="18"/>
    </w:rPr>
  </w:style>
  <w:style w:type="paragraph" w:styleId="1116">
    <w:name w:val="endnote text"/>
    <w:basedOn w:val="1060"/>
    <w:uiPriority w:val="99"/>
    <w:semiHidden/>
    <w:unhideWhenUsed/>
    <w:pPr>
      <w:spacing w:before="0" w:after="0" w:line="240" w:lineRule="auto"/>
    </w:pPr>
    <w:rPr>
      <w:sz w:val="20"/>
    </w:rPr>
  </w:style>
  <w:style w:type="paragraph" w:styleId="1117">
    <w:name w:val="toc 1"/>
    <w:basedOn w:val="1060"/>
    <w:uiPriority w:val="39"/>
    <w:unhideWhenUsed/>
    <w:pPr>
      <w:ind w:left="0" w:right="0" w:firstLine="0"/>
      <w:spacing w:before="0" w:after="57"/>
    </w:pPr>
  </w:style>
  <w:style w:type="paragraph" w:styleId="1118">
    <w:name w:val="toc 2"/>
    <w:basedOn w:val="1060"/>
    <w:uiPriority w:val="39"/>
    <w:unhideWhenUsed/>
    <w:pPr>
      <w:ind w:left="283" w:right="0" w:firstLine="0"/>
      <w:spacing w:before="0" w:after="57"/>
    </w:pPr>
  </w:style>
  <w:style w:type="paragraph" w:styleId="1119">
    <w:name w:val="toc 3"/>
    <w:basedOn w:val="1060"/>
    <w:uiPriority w:val="39"/>
    <w:unhideWhenUsed/>
    <w:pPr>
      <w:ind w:left="567" w:right="0" w:firstLine="0"/>
      <w:spacing w:before="0" w:after="57"/>
    </w:pPr>
  </w:style>
  <w:style w:type="paragraph" w:styleId="1120">
    <w:name w:val="toc 4"/>
    <w:basedOn w:val="1060"/>
    <w:uiPriority w:val="39"/>
    <w:unhideWhenUsed/>
    <w:pPr>
      <w:ind w:left="850" w:right="0" w:firstLine="0"/>
      <w:spacing w:before="0" w:after="57"/>
    </w:pPr>
  </w:style>
  <w:style w:type="paragraph" w:styleId="1121">
    <w:name w:val="toc 5"/>
    <w:basedOn w:val="1060"/>
    <w:uiPriority w:val="39"/>
    <w:unhideWhenUsed/>
    <w:pPr>
      <w:ind w:left="1134" w:right="0" w:firstLine="0"/>
      <w:spacing w:before="0" w:after="57"/>
    </w:pPr>
  </w:style>
  <w:style w:type="paragraph" w:styleId="1122">
    <w:name w:val="toc 6"/>
    <w:basedOn w:val="1060"/>
    <w:uiPriority w:val="39"/>
    <w:unhideWhenUsed/>
    <w:pPr>
      <w:ind w:left="1417" w:right="0" w:firstLine="0"/>
      <w:spacing w:before="0" w:after="57"/>
    </w:pPr>
  </w:style>
  <w:style w:type="paragraph" w:styleId="1123">
    <w:name w:val="toc 7"/>
    <w:basedOn w:val="1060"/>
    <w:uiPriority w:val="39"/>
    <w:unhideWhenUsed/>
    <w:pPr>
      <w:ind w:left="1701" w:right="0" w:firstLine="0"/>
      <w:spacing w:before="0" w:after="57"/>
    </w:pPr>
  </w:style>
  <w:style w:type="paragraph" w:styleId="1124">
    <w:name w:val="toc 8"/>
    <w:basedOn w:val="1060"/>
    <w:uiPriority w:val="39"/>
    <w:unhideWhenUsed/>
    <w:pPr>
      <w:ind w:left="1984" w:right="0" w:firstLine="0"/>
      <w:spacing w:before="0" w:after="57"/>
    </w:pPr>
  </w:style>
  <w:style w:type="paragraph" w:styleId="1125">
    <w:name w:val="toc 9"/>
    <w:basedOn w:val="1060"/>
    <w:uiPriority w:val="39"/>
    <w:unhideWhenUsed/>
    <w:pPr>
      <w:ind w:left="2268" w:right="0" w:firstLine="0"/>
      <w:spacing w:before="0" w:after="57"/>
    </w:pPr>
  </w:style>
  <w:style w:type="paragraph" w:styleId="1126">
    <w:name w:val="Index Heading"/>
    <w:basedOn w:val="1102"/>
  </w:style>
  <w:style w:type="paragraph" w:styleId="1127">
    <w:name w:val="TOC Heading"/>
    <w:uiPriority w:val="39"/>
    <w:unhideWhenUsed/>
    <w:pPr>
      <w:jc w:val="left"/>
      <w:spacing w:before="0" w:after="0"/>
      <w:widowControl/>
    </w:pPr>
    <w:rPr>
      <w:rFonts w:ascii="Times New Roman" w:hAnsi="Times New Roman" w:eastAsia="Arial Unicode MS" w:cs="Arial Unicode MS"/>
      <w:color w:val="auto"/>
      <w:sz w:val="20"/>
      <w:szCs w:val="20"/>
      <w:lang w:val="ru-RU" w:eastAsia="zh-CN" w:bidi="ar-SA"/>
    </w:rPr>
  </w:style>
  <w:style w:type="paragraph" w:styleId="1128">
    <w:name w:val="table of figures"/>
    <w:basedOn w:val="1060"/>
    <w:uiPriority w:val="99"/>
    <w:unhideWhenUsed/>
    <w:qFormat/>
    <w:pPr>
      <w:spacing w:before="0" w:after="0" w:afterAutospacing="0"/>
    </w:pPr>
  </w:style>
  <w:style w:type="paragraph" w:styleId="1129">
    <w:name w:val="ConsPlusNormal"/>
    <w:qFormat/>
    <w:pPr>
      <w:ind w:firstLine="720"/>
      <w:jc w:val="left"/>
      <w:spacing w:before="0" w:after="0"/>
      <w:widowControl w:val="off"/>
    </w:pPr>
    <w:rPr>
      <w:rFonts w:ascii="Arial" w:hAnsi="Arial" w:eastAsia="Arial Unicode MS" w:cs="Arial"/>
      <w:color w:val="auto"/>
      <w:sz w:val="20"/>
      <w:szCs w:val="20"/>
      <w:lang w:val="ru-RU" w:eastAsia="ru-RU" w:bidi="ar-SA"/>
    </w:rPr>
  </w:style>
  <w:style w:type="paragraph" w:styleId="1130">
    <w:name w:val=" Знак Знак1"/>
    <w:basedOn w:val="1060"/>
    <w:qFormat/>
    <w:pPr>
      <w:jc w:val="both"/>
      <w:spacing w:beforeAutospacing="1" w:afterAutospacing="1"/>
    </w:pPr>
    <w:rPr>
      <w:rFonts w:ascii="Tahoma" w:hAnsi="Tahoma"/>
      <w:sz w:val="20"/>
      <w:szCs w:val="20"/>
      <w:lang w:val="en-US" w:eastAsia="en-US"/>
    </w:rPr>
  </w:style>
  <w:style w:type="paragraph" w:styleId="1131">
    <w:name w:val="List Paragraph"/>
    <w:basedOn w:val="1060"/>
    <w:qFormat/>
    <w:pPr>
      <w:ind w:left="720" w:firstLine="0"/>
    </w:pPr>
    <w:rPr>
      <w:rFonts w:ascii="Calibri" w:hAnsi="Calibri" w:cs="Calibri"/>
      <w:lang w:val="en-US" w:eastAsia="zh-CN"/>
    </w:rPr>
  </w:style>
  <w:style w:type="paragraph" w:styleId="1132" w:customStyle="1">
    <w:name w:val="Body Text Indent"/>
    <w:basedOn w:val="1060"/>
    <w:uiPriority w:val="99"/>
    <w:pPr>
      <w:ind w:left="0" w:right="0" w:firstLine="720"/>
      <w:jc w:val="both"/>
      <w:keepLines w:val="0"/>
      <w:keepNext w:val="0"/>
      <w:pageBreakBefore w:val="0"/>
      <w:spacing w:before="0" w:beforeAutospacing="0" w:after="0" w:afterAutospacing="0" w:line="240" w:lineRule="auto"/>
      <w:shd w:val="nil"/>
      <w:widowControl/>
    </w:pPr>
    <w:rPr>
      <w:rFonts w:ascii="Times New Roman" w:hAnsi="Times New Roman" w:eastAsia="Calibri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8"/>
      <w:szCs w:val="20"/>
      <w:u w:val="none"/>
      <w:vertAlign w:val="baseline"/>
      <w:lang w:val="ru-RU" w:eastAsia="ru-RU" w:bidi="ar-SA"/>
      <w14:ligatures w14:val="none"/>
    </w:rPr>
  </w:style>
  <w:style w:type="paragraph" w:styleId="1133">
    <w:name w:val="Текст выноски"/>
    <w:basedOn w:val="1060"/>
    <w:uiPriority w:val="99"/>
    <w:semiHidden/>
    <w:unhideWhenUsed/>
    <w:qFormat/>
    <w:rPr>
      <w:rFonts w:ascii="Tahoma" w:hAnsi="Tahoma"/>
      <w:sz w:val="16"/>
      <w:szCs w:val="16"/>
      <w:lang w:val="en-US" w:eastAsia="en-US"/>
    </w:rPr>
  </w:style>
  <w:style w:type="paragraph" w:styleId="1134">
    <w:name w:val="Обычный (веб)"/>
    <w:basedOn w:val="1060"/>
    <w:uiPriority w:val="99"/>
    <w:qFormat/>
    <w:pPr>
      <w:spacing w:beforeAutospacing="1" w:afterAutospacing="1"/>
    </w:pPr>
  </w:style>
  <w:style w:type="paragraph" w:styleId="1135">
    <w:name w:val="Без интервала"/>
    <w:uiPriority w:val="1"/>
    <w:qFormat/>
    <w:pPr>
      <w:jc w:val="left"/>
      <w:spacing w:before="0" w:after="200" w:line="276" w:lineRule="auto"/>
      <w:widowControl/>
    </w:pPr>
    <w:rPr>
      <w:rFonts w:ascii="Calibri" w:hAnsi="Calibri" w:eastAsia="Arial Unicode MS" w:cs="Arial Unicode MS"/>
      <w:color w:val="auto"/>
      <w:sz w:val="22"/>
      <w:szCs w:val="22"/>
      <w:lang w:val="ru-RU" w:eastAsia="ru-RU" w:bidi="ar-SA"/>
    </w:rPr>
  </w:style>
  <w:style w:type="paragraph" w:styleId="1136">
    <w:name w:val="Содержимое врезки"/>
    <w:basedOn w:val="1060"/>
    <w:qFormat/>
  </w:style>
  <w:style w:type="paragraph" w:styleId="1137">
    <w:name w:val="Содержимое таблицы"/>
    <w:basedOn w:val="1060"/>
    <w:qFormat/>
    <w:pPr>
      <w:widowControl w:val="off"/>
      <w:suppressLineNumbers/>
    </w:pPr>
  </w:style>
  <w:style w:type="paragraph" w:styleId="1138">
    <w:name w:val="Заголовок таблицы"/>
    <w:basedOn w:val="1137"/>
    <w:qFormat/>
    <w:pPr>
      <w:jc w:val="center"/>
      <w:suppressLineNumbers/>
    </w:pPr>
    <w:rPr>
      <w:b/>
      <w:bCs/>
    </w:rPr>
  </w:style>
  <w:style w:type="numbering" w:styleId="1139">
    <w:name w:val="Нет списка"/>
    <w:semiHidden/>
    <w:qFormat/>
  </w:style>
  <w:style w:type="numbering" w:styleId="1140" w:default="1">
    <w:name w:val="No List"/>
    <w:uiPriority w:val="99"/>
    <w:semiHidden/>
    <w:unhideWhenUsed/>
    <w:qFormat/>
  </w:style>
  <w:style w:type="table" w:styleId="1141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header" Target="header2.xml" /><Relationship Id="rId11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_rels/header2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Р7-Офис/2024.1.3.422</Application>
  <Company>Microsoft</Company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dc:language>ru-RU</dc:language>
  <cp:revision>74</cp:revision>
  <dcterms:created xsi:type="dcterms:W3CDTF">2023-02-02T08:54:00Z</dcterms:created>
  <dcterms:modified xsi:type="dcterms:W3CDTF">2025-05-22T03:28:04Z</dcterms:modified>
  <cp:version>786432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