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pStyle w:val="620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Российская  Федерация</w:t>
      </w:r>
      <w:r>
        <w:rPr>
          <w:b/>
          <w:bCs/>
          <w:sz w:val="24"/>
          <w:szCs w:val="24"/>
        </w:rPr>
      </w:r>
      <w:r>
        <w:rPr>
          <w:b/>
          <w:bCs/>
          <w:sz w:val="24"/>
          <w:szCs w:val="24"/>
        </w:rPr>
      </w:r>
    </w:p>
    <w:p>
      <w:pPr>
        <w:pStyle w:val="620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Иркутская область</w:t>
      </w:r>
      <w:r>
        <w:rPr>
          <w:b/>
          <w:bCs/>
          <w:sz w:val="24"/>
          <w:szCs w:val="24"/>
        </w:rPr>
      </w:r>
      <w:r>
        <w:rPr>
          <w:b/>
          <w:bCs/>
          <w:sz w:val="24"/>
          <w:szCs w:val="24"/>
        </w:rPr>
      </w:r>
    </w:p>
    <w:p>
      <w:pPr>
        <w:pStyle w:val="620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Муниципальное образование «Тайшетский район»</w:t>
      </w:r>
      <w:r>
        <w:rPr>
          <w:b/>
          <w:bCs/>
          <w:sz w:val="24"/>
          <w:szCs w:val="24"/>
        </w:rPr>
      </w:r>
      <w:r>
        <w:rPr>
          <w:b/>
          <w:bCs/>
          <w:sz w:val="24"/>
          <w:szCs w:val="24"/>
        </w:rPr>
      </w:r>
    </w:p>
    <w:p>
      <w:pPr>
        <w:pStyle w:val="620"/>
        <w:jc w:val="center"/>
        <w:rPr>
          <w:b/>
          <w:bCs/>
          <w:sz w:val="24"/>
          <w:szCs w:val="24"/>
          <w:highlight w:val="none"/>
        </w:rPr>
      </w:pPr>
      <w:r>
        <w:rPr>
          <w:b/>
          <w:bCs/>
          <w:sz w:val="24"/>
          <w:szCs w:val="24"/>
        </w:rPr>
        <w:t xml:space="preserve">Тайшетское муниципальное образование</w:t>
      </w:r>
      <w:r>
        <w:rPr>
          <w:b/>
          <w:bCs/>
          <w:sz w:val="24"/>
          <w:szCs w:val="24"/>
        </w:rPr>
      </w:r>
      <w:r>
        <w:rPr>
          <w:b/>
          <w:bCs/>
          <w:sz w:val="24"/>
          <w:szCs w:val="24"/>
          <w:highlight w:val="none"/>
        </w:rPr>
      </w:r>
    </w:p>
    <w:p>
      <w:pPr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  <w:highlight w:val="none"/>
        </w:rPr>
        <w:t xml:space="preserve">«Тайшетское городское поселение»</w:t>
      </w:r>
      <w:r>
        <w:rPr>
          <w:b/>
          <w:bCs/>
          <w:sz w:val="24"/>
          <w:szCs w:val="24"/>
          <w:highlight w:val="none"/>
        </w:rPr>
      </w:r>
    </w:p>
    <w:p>
      <w:pPr>
        <w:pStyle w:val="620"/>
        <w:jc w:val="center"/>
        <w:rPr>
          <w:b w:val="0"/>
          <w:sz w:val="28"/>
          <w:szCs w:val="28"/>
        </w:rPr>
      </w:pPr>
      <w:r>
        <w:rPr>
          <w:b/>
          <w:sz w:val="28"/>
          <w:szCs w:val="28"/>
        </w:rPr>
        <w:t xml:space="preserve">ГЛАВА ТАЙШЕТСКОГО ГОРОДСКОГО ПОСЕЛЕНИЯ</w:t>
      </w:r>
      <w:r>
        <w:rPr>
          <w:b w:val="0"/>
          <w:sz w:val="28"/>
          <w:szCs w:val="28"/>
        </w:rPr>
      </w:r>
      <w:r>
        <w:rPr>
          <w:b w:val="0"/>
          <w:sz w:val="28"/>
          <w:szCs w:val="28"/>
        </w:rPr>
      </w:r>
    </w:p>
    <w:p>
      <w:pPr>
        <w:pStyle w:val="621"/>
        <w:numPr>
          <w:ilvl w:val="0"/>
          <w:numId w:val="1"/>
        </w:numPr>
        <w:ind w:left="0" w:right="0" w:firstLine="0"/>
        <w:rPr>
          <w:b w:val="0"/>
          <w:bCs w:val="0"/>
          <w:sz w:val="24"/>
          <w:szCs w:val="24"/>
        </w:rPr>
      </w:pP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</w:p>
    <w:p>
      <w:pPr>
        <w:pStyle w:val="621"/>
        <w:numPr>
          <w:ilvl w:val="0"/>
          <w:numId w:val="1"/>
        </w:numPr>
        <w:ind w:left="0" w:right="0" w:firstLine="0"/>
        <w:rPr>
          <w:sz w:val="28"/>
          <w:szCs w:val="28"/>
        </w:rPr>
      </w:pPr>
      <w:r>
        <w:rPr>
          <w:sz w:val="28"/>
          <w:szCs w:val="28"/>
        </w:rPr>
        <w:t xml:space="preserve">П О С Т А Н О В Л Е Н И Е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620"/>
        <w:jc w:val="center"/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pStyle w:val="620"/>
        <w:jc w:val="both"/>
        <w:rPr>
          <w:sz w:val="24"/>
          <w:szCs w:val="24"/>
          <w:highlight w:val="none"/>
        </w:rPr>
      </w:pPr>
      <w:r>
        <w:rPr>
          <w:sz w:val="24"/>
          <w:szCs w:val="24"/>
        </w:rPr>
        <w:t xml:space="preserve">От 26.05.</w:t>
      </w:r>
      <w:r>
        <w:rPr>
          <w:sz w:val="24"/>
          <w:szCs w:val="24"/>
        </w:rPr>
        <w:t xml:space="preserve">2025 г. </w:t>
        <w:tab/>
        <w:tab/>
        <w:tab/>
        <w:tab/>
      </w:r>
      <w:r>
        <w:rPr>
          <w:sz w:val="24"/>
          <w:szCs w:val="24"/>
        </w:rPr>
        <w:t xml:space="preserve">г.Тайшет</w:t>
      </w:r>
      <w:r>
        <w:rPr>
          <w:sz w:val="24"/>
          <w:szCs w:val="24"/>
        </w:rPr>
        <w:tab/>
        <w:tab/>
        <w:tab/>
        <w:tab/>
        <w:tab/>
      </w:r>
      <w:r>
        <w:rPr>
          <w:sz w:val="24"/>
          <w:szCs w:val="24"/>
        </w:rPr>
        <w:t xml:space="preserve">№419 </w:t>
      </w:r>
      <w:r>
        <w:rPr>
          <w:sz w:val="24"/>
          <w:szCs w:val="24"/>
        </w:rPr>
      </w:r>
    </w:p>
    <w:p>
      <w:pPr>
        <w:jc w:val="both"/>
        <w:rPr>
          <w:sz w:val="24"/>
          <w:szCs w:val="24"/>
        </w:rPr>
      </w:pPr>
      <w:r>
        <w:rPr>
          <w:sz w:val="24"/>
          <w:szCs w:val="24"/>
          <w:highlight w:val="none"/>
        </w:rPr>
      </w:r>
      <w:r>
        <w:rPr>
          <w:sz w:val="24"/>
          <w:szCs w:val="24"/>
          <w:highlight w:val="none"/>
        </w:rPr>
      </w:r>
    </w:p>
    <w:p>
      <w:pPr>
        <w:pStyle w:val="620"/>
        <w:ind w:right="4989"/>
        <w:jc w:val="both"/>
        <w:rPr>
          <w:sz w:val="24"/>
          <w:szCs w:val="24"/>
        </w:rPr>
        <w:suppressLineNumbers w:val="0"/>
      </w:pPr>
      <w:r>
        <w:rPr>
          <w:sz w:val="24"/>
          <w:szCs w:val="24"/>
        </w:rPr>
        <w:t xml:space="preserve">О  проведении публичных слушаний по </w:t>
      </w:r>
      <w:r>
        <w:rPr>
          <w:sz w:val="24"/>
          <w:szCs w:val="24"/>
        </w:rPr>
      </w:r>
      <w:r>
        <w:rPr>
          <w:sz w:val="24"/>
          <w:szCs w:val="24"/>
        </w:rPr>
      </w:r>
      <w:r>
        <w:rPr>
          <w:sz w:val="24"/>
          <w:szCs w:val="24"/>
        </w:rPr>
        <w:t xml:space="preserve">вопросу предоставления разрешения на</w:t>
      </w:r>
      <w:r>
        <w:rPr>
          <w:sz w:val="24"/>
          <w:szCs w:val="24"/>
        </w:rPr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</w:r>
      <w:r>
        <w:rPr>
          <w:sz w:val="24"/>
          <w:szCs w:val="24"/>
        </w:rPr>
        <w:t xml:space="preserve">отклонение от предельных параметров </w:t>
      </w:r>
      <w:r>
        <w:rPr>
          <w:sz w:val="24"/>
          <w:szCs w:val="24"/>
        </w:rPr>
      </w:r>
      <w:r>
        <w:rPr>
          <w:sz w:val="24"/>
          <w:szCs w:val="24"/>
        </w:rPr>
      </w:r>
      <w:r>
        <w:rPr>
          <w:sz w:val="24"/>
          <w:szCs w:val="24"/>
        </w:rPr>
      </w:r>
      <w:r>
        <w:rPr>
          <w:sz w:val="24"/>
          <w:szCs w:val="24"/>
        </w:rPr>
        <w:t xml:space="preserve">разрешенного строительства объекта </w:t>
      </w:r>
      <w:r>
        <w:rPr>
          <w:sz w:val="24"/>
          <w:szCs w:val="24"/>
        </w:rPr>
      </w:r>
      <w:r>
        <w:rPr>
          <w:sz w:val="24"/>
          <w:szCs w:val="24"/>
        </w:rPr>
      </w:r>
      <w:r>
        <w:rPr>
          <w:sz w:val="24"/>
          <w:szCs w:val="24"/>
        </w:rPr>
      </w:r>
      <w:r>
        <w:rPr>
          <w:sz w:val="24"/>
          <w:szCs w:val="24"/>
        </w:rPr>
        <w:t xml:space="preserve">капитального строительства</w:t>
      </w:r>
      <w:r>
        <w:rPr>
          <w:sz w:val="24"/>
          <w:szCs w:val="24"/>
        </w:rPr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pStyle w:val="620"/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pStyle w:val="620"/>
        <w:ind w:right="0" w:firstLine="720"/>
        <w:jc w:val="both"/>
        <w:rPr>
          <w:sz w:val="24"/>
          <w:szCs w:val="24"/>
        </w:rPr>
        <w:suppressLineNumbers w:val="0"/>
      </w:pPr>
      <w:r>
        <w:rPr>
          <w:sz w:val="24"/>
          <w:szCs w:val="24"/>
        </w:rPr>
        <w:t xml:space="preserve">Рассм</w:t>
      </w:r>
      <w:r>
        <w:rPr>
          <w:sz w:val="24"/>
          <w:szCs w:val="24"/>
        </w:rPr>
        <w:t xml:space="preserve">отрев заявление Никифорова Андрея Олеговича о предоставлении разрешения на отклонение от предельных параметров разрешенного строительства объекта капитального строительства, в целях соблюдения прав и законных интересов правообладателей земельных участков,</w:t>
      </w:r>
      <w:r>
        <w:rPr>
          <w:rFonts w:eastAsia="Arial Unicode MS"/>
          <w:sz w:val="24"/>
          <w:szCs w:val="24"/>
        </w:rPr>
        <w:t xml:space="preserve"> </w:t>
      </w:r>
      <w:r>
        <w:rPr>
          <w:sz w:val="24"/>
          <w:szCs w:val="24"/>
        </w:rPr>
        <w:t xml:space="preserve">руководствуясь Градостроительным кодексом Российской Федерации, Федеральным законом от 29 декабря 2004 го</w:t>
      </w:r>
      <w:r>
        <w:rPr>
          <w:sz w:val="24"/>
          <w:szCs w:val="24"/>
        </w:rPr>
        <w:t xml:space="preserve">да №191–ФЗ «О введении в действие Градостроительного кодекса Российской Федерации», Федеральным законом от 06 декабря 2003 года № 131-ФЗ «Об общих принципах организации местного самоуправления в Российской Федерации», Уставом Тайшетского муниципального об</w:t>
      </w:r>
      <w:r>
        <w:rPr>
          <w:sz w:val="24"/>
          <w:szCs w:val="24"/>
        </w:rPr>
        <w:t xml:space="preserve">разования «Тайшетское городское поселение», Положением «О публичных слушаниях в области градостроительной деятельности на территории Тайшетского городского поселения», утвержденным решением Думы Тайшетского городского поселения от 26 марта 2009 года № 119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pStyle w:val="620"/>
        <w:ind w:right="0" w:firstLine="0"/>
        <w:jc w:val="both"/>
        <w:rPr>
          <w:sz w:val="24"/>
          <w:szCs w:val="24"/>
        </w:rPr>
        <w:suppressLineNumbers w:val="0"/>
      </w:pPr>
      <w:r>
        <w:rPr>
          <w:sz w:val="24"/>
          <w:szCs w:val="24"/>
        </w:rPr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pStyle w:val="621"/>
        <w:numPr>
          <w:ilvl w:val="0"/>
          <w:numId w:val="0"/>
        </w:numPr>
        <w:ind w:left="0" w:right="0" w:firstLine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 О С Т А Н О В Л Я Ю: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621"/>
        <w:numPr>
          <w:ilvl w:val="0"/>
          <w:numId w:val="1"/>
        </w:numPr>
        <w:ind w:left="0" w:right="0" w:firstLine="0"/>
        <w:jc w:val="left"/>
        <w:rPr>
          <w:b w:val="0"/>
          <w:bCs w:val="0"/>
          <w:szCs w:val="22"/>
        </w:rPr>
        <w:suppressLineNumbers w:val="0"/>
      </w:pPr>
      <w:r>
        <w:rPr>
          <w:b w:val="0"/>
          <w:bCs w:val="0"/>
          <w:szCs w:val="22"/>
        </w:rPr>
      </w:r>
      <w:r>
        <w:rPr>
          <w:b w:val="0"/>
          <w:bCs w:val="0"/>
          <w:szCs w:val="22"/>
        </w:rPr>
      </w:r>
    </w:p>
    <w:p>
      <w:pPr>
        <w:pStyle w:val="620"/>
        <w:ind w:firstLine="720"/>
        <w:jc w:val="both"/>
        <w:tabs>
          <w:tab w:val="left" w:pos="1110" w:leader="none"/>
        </w:tabs>
        <w:rPr>
          <w:sz w:val="24"/>
          <w:szCs w:val="24"/>
          <w:highlight w:val="white"/>
        </w:rPr>
        <w:suppressLineNumbers w:val="0"/>
      </w:pPr>
      <w:r>
        <w:rPr>
          <w:sz w:val="24"/>
          <w:szCs w:val="24"/>
        </w:rPr>
      </w:r>
      <w:r>
        <w:rPr>
          <w:sz w:val="24"/>
          <w:szCs w:val="24"/>
        </w:rPr>
        <w:t xml:space="preserve">1. Назначить публичные слушания по вопросу предоставления разрешен</w:t>
      </w:r>
      <w:r>
        <w:rPr>
          <w:sz w:val="24"/>
          <w:szCs w:val="24"/>
        </w:rPr>
        <w:t xml:space="preserve">ия на отклонение от предельных параметров разрешенного строительства объекта капитального строительства на земельном участке, расположенном в территориальной зоне многофункциональной общественно-деловой застройки (О1), с  видом разрешенного использования: </w:t>
      </w:r>
      <w:r>
        <w:rPr>
          <w:sz w:val="24"/>
          <w:szCs w:val="24"/>
          <w:shd w:val="clear" w:color="auto" w:fill="auto"/>
        </w:rPr>
        <w:t xml:space="preserve">Магазины (код 4.4), по адресу: Российская Федерация, Иркутская область, Тайшетский муниципальный район, Тайшетское городское поселение, город Тайшет, улица Советская, земельный участок 14/1, с кадастровым номером 38:29:020206:403, </w:t>
      </w:r>
      <w:r>
        <w:rPr>
          <w:sz w:val="24"/>
          <w:szCs w:val="24"/>
        </w:rPr>
        <w:t xml:space="preserve">площадью 2081 квадратных метров, в части уменьшения минимального отступа от границы земельного участка, за пределами которого запрещено строительство зданий, строений, сооружений  </w:t>
      </w:r>
      <w:r>
        <w:rPr>
          <w:sz w:val="24"/>
          <w:szCs w:val="24"/>
          <w:shd w:val="clear" w:color="auto" w:fill="auto"/>
        </w:rPr>
        <w:t xml:space="preserve">с 3 метров до 0 метров со стороны улицы Чапаев</w:t>
      </w:r>
      <w:r>
        <w:rPr>
          <w:sz w:val="24"/>
          <w:szCs w:val="24"/>
          <w:shd w:val="clear" w:color="auto" w:fill="auto"/>
        </w:rPr>
        <w:t xml:space="preserve">а</w:t>
      </w:r>
      <w:r>
        <w:rPr>
          <w:sz w:val="24"/>
          <w:szCs w:val="24"/>
          <w:shd w:val="clear" w:color="auto" w:fill="auto"/>
        </w:rPr>
        <w:t xml:space="preserve">. </w:t>
      </w:r>
      <w:r>
        <w:rPr>
          <w:sz w:val="24"/>
          <w:szCs w:val="24"/>
          <w:highlight w:val="white"/>
        </w:rPr>
      </w:r>
      <w:r>
        <w:rPr>
          <w:sz w:val="24"/>
          <w:szCs w:val="24"/>
          <w:highlight w:val="white"/>
        </w:rPr>
      </w:r>
    </w:p>
    <w:p>
      <w:pPr>
        <w:pStyle w:val="620"/>
        <w:ind w:firstLine="720"/>
        <w:jc w:val="both"/>
        <w:rPr>
          <w:sz w:val="24"/>
          <w:szCs w:val="24"/>
        </w:rPr>
        <w:suppressLineNumbers w:val="0"/>
      </w:pPr>
      <w:r>
        <w:rPr>
          <w:sz w:val="24"/>
          <w:szCs w:val="24"/>
        </w:rPr>
      </w:r>
      <w:r>
        <w:rPr>
          <w:sz w:val="24"/>
          <w:szCs w:val="24"/>
        </w:rPr>
        <w:t xml:space="preserve">2. Прове</w:t>
      </w:r>
      <w:r>
        <w:rPr>
          <w:sz w:val="24"/>
          <w:szCs w:val="24"/>
        </w:rPr>
        <w:t xml:space="preserve">сти публичные слушания, указанные в пункте 1 настоящего постановления, 11 июня 2025 года в 15 часов 00 минут в здании администрации Тайшетского городского поселения, расположенной по адресу: Иркутская область, город Тайшет, улица Свободы, 4-4Н, кабинет 5.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pStyle w:val="620"/>
        <w:ind w:firstLine="720"/>
        <w:jc w:val="both"/>
        <w:rPr>
          <w:sz w:val="24"/>
          <w:szCs w:val="24"/>
        </w:rPr>
        <w:suppressLineNumbers w:val="0"/>
      </w:pPr>
      <w:r>
        <w:rPr>
          <w:sz w:val="24"/>
          <w:szCs w:val="24"/>
        </w:rPr>
      </w:r>
      <w:r>
        <w:rPr>
          <w:sz w:val="24"/>
          <w:szCs w:val="24"/>
        </w:rPr>
        <w:t xml:space="preserve">3. Комиссии по подготовке и  проведению публичных обсуждений  и публичных слушаний  по вопросам градостроительной деятельности обеспечить: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pStyle w:val="620"/>
        <w:ind w:firstLine="720"/>
        <w:jc w:val="both"/>
        <w:rPr>
          <w:sz w:val="24"/>
          <w:szCs w:val="24"/>
        </w:rPr>
        <w:suppressLineNumbers w:val="0"/>
      </w:pPr>
      <w:r>
        <w:rPr>
          <w:sz w:val="24"/>
          <w:szCs w:val="24"/>
        </w:rPr>
        <w:t xml:space="preserve">3.1. Подготовку и проведение публичных слушаний;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pStyle w:val="620"/>
        <w:ind w:firstLine="720"/>
        <w:jc w:val="both"/>
        <w:rPr>
          <w:sz w:val="24"/>
          <w:szCs w:val="24"/>
        </w:rPr>
        <w:suppressLineNumbers w:val="0"/>
      </w:pPr>
      <w:r>
        <w:rPr>
          <w:sz w:val="24"/>
          <w:szCs w:val="24"/>
        </w:rPr>
      </w:r>
      <w:r>
        <w:rPr>
          <w:sz w:val="24"/>
          <w:szCs w:val="24"/>
        </w:rPr>
        <w:t xml:space="preserve">3.2. Обобщение поступивших письменных обращений</w:t>
      </w:r>
      <w:r>
        <w:rPr>
          <w:sz w:val="24"/>
          <w:szCs w:val="24"/>
        </w:rPr>
        <w:t xml:space="preserve">;</w:t>
      </w:r>
      <w:r>
        <w:rPr>
          <w:sz w:val="24"/>
          <w:szCs w:val="24"/>
        </w:rPr>
      </w:r>
    </w:p>
    <w:p>
      <w:pPr>
        <w:pStyle w:val="620"/>
        <w:ind w:firstLine="720"/>
        <w:jc w:val="both"/>
        <w:rPr>
          <w:sz w:val="24"/>
          <w:szCs w:val="24"/>
        </w:rPr>
        <w:suppressLineNumbers w:val="0"/>
      </w:pPr>
      <w:r>
        <w:rPr>
          <w:sz w:val="24"/>
          <w:szCs w:val="24"/>
        </w:rPr>
      </w:r>
      <w:r>
        <w:rPr>
          <w:sz w:val="24"/>
          <w:szCs w:val="24"/>
        </w:rPr>
        <w:t xml:space="preserve">3.3. Оформление результатов публичных слушаний.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pStyle w:val="620"/>
        <w:ind w:firstLine="720"/>
        <w:jc w:val="both"/>
        <w:rPr>
          <w:sz w:val="24"/>
          <w:szCs w:val="24"/>
        </w:rPr>
        <w:suppressLineNumbers w:val="0"/>
      </w:pPr>
      <w:r>
        <w:rPr>
          <w:sz w:val="24"/>
          <w:szCs w:val="24"/>
        </w:rPr>
        <w:t xml:space="preserve">4. Установить, что</w:t>
      </w:r>
      <w:r>
        <w:rPr>
          <w:sz w:val="24"/>
          <w:szCs w:val="24"/>
        </w:rPr>
        <w:t xml:space="preserve"> письменные обращения жителей Тайшетского городского поселения, а также уведомления от лиц, желающих принять участие в публичных слушаниях, принимаются в срок до 10 июня 2025 года по адресу: Иркутская область, город Тайшет, улица Свободы, 4-4Н, кабинет 29.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pStyle w:val="620"/>
        <w:ind w:firstLine="720"/>
        <w:jc w:val="both"/>
        <w:rPr>
          <w:sz w:val="24"/>
          <w:szCs w:val="24"/>
        </w:rPr>
        <w:suppressLineNumbers w:val="0"/>
      </w:pPr>
      <w:r>
        <w:rPr>
          <w:sz w:val="24"/>
          <w:szCs w:val="24"/>
        </w:rPr>
        <w:t xml:space="preserve">5. Начальнику отдела по организационной работе, контролю и делопроизводству администрации Тайшетского городского поселения В.Д. Бычковой опубликовать: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pStyle w:val="620"/>
        <w:ind w:firstLine="720"/>
        <w:jc w:val="both"/>
        <w:rPr>
          <w:sz w:val="24"/>
          <w:szCs w:val="24"/>
        </w:rPr>
        <w:suppressLineNumbers w:val="0"/>
      </w:pPr>
      <w:r>
        <w:rPr>
          <w:sz w:val="24"/>
          <w:szCs w:val="24"/>
        </w:rPr>
      </w:r>
      <w:r>
        <w:rPr>
          <w:sz w:val="24"/>
          <w:szCs w:val="24"/>
        </w:rPr>
        <w:t xml:space="preserve">5.1. Настоящее постановление в официальных средствах массовой информации;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pStyle w:val="620"/>
        <w:ind w:firstLine="720"/>
        <w:jc w:val="both"/>
        <w:rPr>
          <w:sz w:val="24"/>
          <w:szCs w:val="24"/>
        </w:rPr>
        <w:suppressLineNumbers w:val="0"/>
      </w:pPr>
      <w:r>
        <w:rPr>
          <w:sz w:val="24"/>
          <w:szCs w:val="24"/>
        </w:rPr>
      </w:r>
      <w:r>
        <w:rPr>
          <w:sz w:val="24"/>
          <w:szCs w:val="24"/>
        </w:rPr>
        <w:t xml:space="preserve">5.2. Извещение о проведении публичных слушаний на сайте администрации Тайшетского городского поселения;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pStyle w:val="620"/>
        <w:ind w:firstLine="720"/>
        <w:jc w:val="both"/>
        <w:rPr>
          <w:sz w:val="24"/>
          <w:szCs w:val="24"/>
        </w:rPr>
        <w:suppressLineNumbers w:val="0"/>
      </w:pPr>
      <w:r>
        <w:rPr>
          <w:sz w:val="24"/>
          <w:szCs w:val="24"/>
        </w:rPr>
        <w:t xml:space="preserve">5.3. Заключение о результатах проведения публичных слушаний в официальных средствах массовой информации.</w:t>
      </w:r>
      <w:r>
        <w:rPr>
          <w:sz w:val="24"/>
          <w:szCs w:val="24"/>
        </w:rPr>
      </w:r>
    </w:p>
    <w:p>
      <w:pPr>
        <w:jc w:val="both"/>
        <w:rPr>
          <w:sz w:val="24"/>
          <w:szCs w:val="24"/>
        </w:rPr>
      </w:pPr>
      <w:r>
        <w:rPr>
          <w:sz w:val="24"/>
          <w:szCs w:val="24"/>
          <w:highlight w:val="none"/>
        </w:rPr>
      </w:r>
      <w:r>
        <w:rPr>
          <w:sz w:val="24"/>
          <w:szCs w:val="24"/>
          <w:highlight w:val="none"/>
        </w:rPr>
      </w:r>
    </w:p>
    <w:p>
      <w:pPr>
        <w:jc w:val="both"/>
        <w:rPr>
          <w:sz w:val="24"/>
          <w:szCs w:val="24"/>
          <w:highlight w:val="none"/>
        </w:rPr>
      </w:pPr>
      <w:r>
        <w:rPr>
          <w:sz w:val="24"/>
          <w:szCs w:val="24"/>
          <w:highlight w:val="none"/>
        </w:rPr>
      </w:r>
      <w:r>
        <w:rPr>
          <w:sz w:val="24"/>
          <w:szCs w:val="24"/>
          <w:highlight w:val="none"/>
        </w:rPr>
      </w:r>
    </w:p>
    <w:p>
      <w:pPr>
        <w:jc w:val="both"/>
        <w:rPr>
          <w:sz w:val="24"/>
          <w:szCs w:val="24"/>
          <w:highlight w:val="none"/>
        </w:rPr>
      </w:pPr>
      <w:r>
        <w:rPr>
          <w:sz w:val="24"/>
          <w:szCs w:val="24"/>
          <w:highlight w:val="none"/>
        </w:rPr>
      </w:r>
      <w:r>
        <w:rPr>
          <w:sz w:val="24"/>
          <w:szCs w:val="24"/>
          <w:highlight w:val="none"/>
        </w:rPr>
      </w:r>
    </w:p>
    <w:p>
      <w:pPr>
        <w:jc w:val="both"/>
        <w:rPr>
          <w:sz w:val="24"/>
          <w:szCs w:val="24"/>
          <w:highlight w:val="none"/>
        </w:rPr>
      </w:pPr>
      <w:r>
        <w:rPr>
          <w:sz w:val="24"/>
          <w:szCs w:val="24"/>
          <w:highlight w:val="none"/>
        </w:rPr>
      </w:r>
      <w:r>
        <w:rPr>
          <w:sz w:val="24"/>
          <w:szCs w:val="24"/>
          <w:highlight w:val="none"/>
        </w:rPr>
      </w:r>
    </w:p>
    <w:p>
      <w:pPr>
        <w:pStyle w:val="62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Глава Тайшетского</w:t>
      </w:r>
      <w:r>
        <w:rPr>
          <w:sz w:val="24"/>
          <w:szCs w:val="24"/>
          <w:highlight w:val="none"/>
        </w:rPr>
      </w:r>
    </w:p>
    <w:p>
      <w:pPr>
        <w:jc w:val="both"/>
        <w:rPr>
          <w:sz w:val="24"/>
          <w:szCs w:val="24"/>
          <w:highlight w:val="none"/>
        </w:rPr>
      </w:pPr>
      <w:r>
        <w:rPr>
          <w:sz w:val="24"/>
          <w:szCs w:val="24"/>
        </w:rPr>
        <w:t xml:space="preserve"> городского поселения </w:t>
        <w:tab/>
        <w:tab/>
        <w:tab/>
        <w:tab/>
        <w:tab/>
        <w:tab/>
        <w:tab/>
        <w:t xml:space="preserve">Р.О. Леоненко</w:t>
      </w:r>
      <w:r>
        <w:rPr>
          <w:sz w:val="24"/>
          <w:szCs w:val="24"/>
          <w:highlight w:val="none"/>
        </w:rPr>
      </w:r>
      <w:r/>
    </w:p>
    <w:p>
      <w:pPr>
        <w:jc w:val="both"/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jc w:val="both"/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jc w:val="both"/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jc w:val="both"/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jc w:val="both"/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jc w:val="both"/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jc w:val="both"/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jc w:val="both"/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jc w:val="both"/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jc w:val="both"/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jc w:val="both"/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jc w:val="both"/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jc w:val="both"/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jc w:val="both"/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jc w:val="both"/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jc w:val="both"/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jc w:val="both"/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jc w:val="both"/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jc w:val="both"/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jc w:val="both"/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jc w:val="both"/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jc w:val="both"/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jc w:val="both"/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jc w:val="both"/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jc w:val="both"/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jc w:val="both"/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jc w:val="both"/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jc w:val="both"/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jc w:val="both"/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jc w:val="both"/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jc w:val="both"/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jc w:val="both"/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pStyle w:val="620"/>
        <w:jc w:val="both"/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pStyle w:val="62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Исп.: В.Н. Ковалева,  </w:t>
      </w:r>
      <w:r>
        <w:rPr>
          <w:sz w:val="24"/>
          <w:szCs w:val="24"/>
        </w:rPr>
      </w:r>
    </w:p>
    <w:p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тел. 2-05-51</w:t>
      </w:r>
      <w:r>
        <w:rPr>
          <w:sz w:val="24"/>
          <w:szCs w:val="24"/>
        </w:rPr>
        <w:t xml:space="preserve">  </w:t>
      </w:r>
      <w:r>
        <w:rPr>
          <w:sz w:val="24"/>
          <w:szCs w:val="24"/>
        </w:rPr>
      </w:r>
      <w:r/>
    </w:p>
    <w:sectPr>
      <w:footnotePr>
        <w:numFmt w:val="decimal"/>
        <w:numRestart w:val="continuous"/>
      </w:footnotePr>
      <w:endnotePr>
        <w:numFmt w:val="lowerRoman"/>
      </w:endnotePr>
      <w:type w:val="nextPage"/>
      <w:pgSz w:w="11906" w:h="16838" w:orient="portrait"/>
      <w:pgMar w:top="1134" w:right="850" w:bottom="1134" w:left="1701" w:header="709" w:footer="709" w:gutter="57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/>
      <w:r>
        <w:separator/>
      </w:r>
      <w:r/>
    </w:p>
  </w:endnote>
  <w:endnote w:type="continuationSeparator" w:id="0">
    <w:p>
      <w:pPr>
        <w:spacing w:after="0" w:line="240" w:lineRule="auto"/>
      </w:pPr>
      <w:r/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ahoma">
    <w:panose1 w:val="020B0604030504040204"/>
  </w:font>
  <w:font w:name="Noto Sans Devanagari">
    <w:panose1 w:val="020B0502040504020204"/>
  </w:font>
  <w:font w:name="Cambria">
    <w:panose1 w:val="02040503050406030204"/>
  </w:font>
  <w:font w:name="Times New Roman">
    <w:panose1 w:val="02020603050405020304"/>
  </w:font>
  <w:font w:name="Arial Unicode MS">
    <w:panose1 w:val="020B0604020202020204"/>
  </w:font>
  <w:font w:name="PT Astra Serif">
    <w:panose1 w:val="020A0603040505020204"/>
  </w:font>
  <w:font w:name="Arial">
    <w:panose1 w:val="020B0604020202020204"/>
  </w:font>
  <w:font w:name="Calibri">
    <w:panose1 w:val="020F0502020204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/>
      <w:r>
        <w:separator/>
      </w:r>
      <w:r/>
    </w:p>
  </w:footnote>
  <w:footnote w:type="continuationSeparator" w:id="0">
    <w:p>
      <w:pPr>
        <w:spacing w:after="0" w:line="240" w:lineRule="auto"/>
      </w:pPr>
      <w:r/>
      <w:r>
        <w:continuationSeparator/>
      </w:r>
      <w:r/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1"/>
      <w:numFmt w:val="decimal"/>
      <w:pStyle w:val="621"/>
      <w:isLgl w:val="false"/>
      <w:suff w:val="nothing"/>
      <w:lvlText w:val=""/>
      <w:lvlJc w:val="left"/>
      <w:pPr>
        <w:ind w:left="0" w:firstLine="0"/>
        <w:tabs>
          <w:tab w:val="num" w:pos="0" w:leader="none"/>
        </w:tabs>
      </w:pPr>
    </w:lvl>
    <w:lvl w:ilvl="1">
      <w:start w:val="1"/>
      <w:numFmt w:val="decimal"/>
      <w:pStyle w:val="622"/>
      <w:isLgl w:val="false"/>
      <w:suff w:val="nothing"/>
      <w:lvlText w:val=""/>
      <w:lvlJc w:val="left"/>
      <w:pPr>
        <w:ind w:left="0" w:firstLine="0"/>
        <w:tabs>
          <w:tab w:val="num" w:pos="0" w:leader="none"/>
        </w:tabs>
      </w:pPr>
    </w:lvl>
    <w:lvl w:ilvl="2">
      <w:start w:val="1"/>
      <w:numFmt w:val="decimal"/>
      <w:pStyle w:val="623"/>
      <w:isLgl w:val="false"/>
      <w:suff w:val="nothing"/>
      <w:lvlText w:val=""/>
      <w:lvlJc w:val="left"/>
      <w:pPr>
        <w:ind w:left="0" w:firstLine="0"/>
        <w:tabs>
          <w:tab w:val="num" w:pos="0" w:leader="none"/>
        </w:tabs>
      </w:pPr>
    </w:lvl>
    <w:lvl w:ilvl="3">
      <w:start w:val="1"/>
      <w:numFmt w:val="decimal"/>
      <w:isLgl w:val="false"/>
      <w:suff w:val="nothing"/>
      <w:lvlText w:val=""/>
      <w:lvlJc w:val="left"/>
      <w:pPr>
        <w:ind w:left="0" w:firstLine="0"/>
        <w:tabs>
          <w:tab w:val="num" w:pos="0" w:leader="none"/>
        </w:tabs>
      </w:pPr>
    </w:lvl>
    <w:lvl w:ilvl="4">
      <w:start w:val="1"/>
      <w:numFmt w:val="decimal"/>
      <w:isLgl w:val="false"/>
      <w:suff w:val="nothing"/>
      <w:lvlText w:val=""/>
      <w:lvlJc w:val="left"/>
      <w:pPr>
        <w:ind w:left="0" w:firstLine="0"/>
        <w:tabs>
          <w:tab w:val="num" w:pos="0" w:leader="none"/>
        </w:tabs>
      </w:pPr>
    </w:lvl>
    <w:lvl w:ilvl="5">
      <w:start w:val="1"/>
      <w:numFmt w:val="decimal"/>
      <w:isLgl w:val="false"/>
      <w:suff w:val="nothing"/>
      <w:lvlText w:val=""/>
      <w:lvlJc w:val="left"/>
      <w:pPr>
        <w:ind w:left="0" w:firstLine="0"/>
        <w:tabs>
          <w:tab w:val="num" w:pos="0" w:leader="none"/>
        </w:tabs>
      </w:pPr>
    </w:lvl>
    <w:lvl w:ilvl="6">
      <w:start w:val="1"/>
      <w:numFmt w:val="decimal"/>
      <w:isLgl w:val="false"/>
      <w:suff w:val="nothing"/>
      <w:lvlText w:val=""/>
      <w:lvlJc w:val="left"/>
      <w:pPr>
        <w:ind w:left="0" w:firstLine="0"/>
        <w:tabs>
          <w:tab w:val="num" w:pos="0" w:leader="none"/>
        </w:tabs>
      </w:pPr>
    </w:lvl>
    <w:lvl w:ilvl="7">
      <w:start w:val="1"/>
      <w:numFmt w:val="decimal"/>
      <w:isLgl w:val="false"/>
      <w:suff w:val="nothing"/>
      <w:lvlText w:val=""/>
      <w:lvlJc w:val="left"/>
      <w:pPr>
        <w:ind w:left="0" w:firstLine="0"/>
        <w:tabs>
          <w:tab w:val="num" w:pos="0" w:leader="none"/>
        </w:tabs>
      </w:pPr>
    </w:lvl>
    <w:lvl w:ilvl="8">
      <w:start w:val="1"/>
      <w:numFmt w:val="decimal"/>
      <w:isLgl w:val="false"/>
      <w:suff w:val="nothing"/>
      <w:lvlText w:val=""/>
      <w:lvlJc w:val="left"/>
      <w:pPr>
        <w:ind w:left="0" w:firstLine="0"/>
        <w:tabs>
          <w:tab w:val="num" w:pos="0" w:leader="none"/>
        </w:tabs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1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/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character" w:styleId="14">
    <w:name w:val="Heading 1 Char"/>
    <w:basedOn w:val="11"/>
    <w:link w:val="621"/>
    <w:uiPriority w:val="9"/>
    <w:rPr>
      <w:rFonts w:ascii="Arial" w:hAnsi="Arial" w:eastAsia="Arial" w:cs="Arial"/>
      <w:sz w:val="40"/>
      <w:szCs w:val="40"/>
    </w:rPr>
  </w:style>
  <w:style w:type="character" w:styleId="16">
    <w:name w:val="Heading 2 Char"/>
    <w:basedOn w:val="11"/>
    <w:link w:val="622"/>
    <w:uiPriority w:val="9"/>
    <w:rPr>
      <w:rFonts w:ascii="Arial" w:hAnsi="Arial" w:eastAsia="Arial" w:cs="Arial"/>
      <w:sz w:val="34"/>
    </w:rPr>
  </w:style>
  <w:style w:type="character" w:styleId="18">
    <w:name w:val="Heading 3 Char"/>
    <w:basedOn w:val="11"/>
    <w:link w:val="623"/>
    <w:uiPriority w:val="9"/>
    <w:rPr>
      <w:rFonts w:ascii="Arial" w:hAnsi="Arial" w:eastAsia="Arial" w:cs="Arial"/>
      <w:sz w:val="30"/>
      <w:szCs w:val="30"/>
    </w:rPr>
  </w:style>
  <w:style w:type="paragraph" w:styleId="19">
    <w:name w:val="Heading 4"/>
    <w:basedOn w:val="620"/>
    <w:next w:val="620"/>
    <w:link w:val="20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20">
    <w:name w:val="Heading 4 Char"/>
    <w:basedOn w:val="11"/>
    <w:link w:val="19"/>
    <w:uiPriority w:val="9"/>
    <w:rPr>
      <w:rFonts w:ascii="Arial" w:hAnsi="Arial" w:eastAsia="Arial" w:cs="Arial"/>
      <w:b/>
      <w:bCs/>
      <w:sz w:val="26"/>
      <w:szCs w:val="26"/>
    </w:rPr>
  </w:style>
  <w:style w:type="paragraph" w:styleId="21">
    <w:name w:val="Heading 5"/>
    <w:basedOn w:val="620"/>
    <w:next w:val="620"/>
    <w:link w:val="22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22">
    <w:name w:val="Heading 5 Char"/>
    <w:basedOn w:val="11"/>
    <w:link w:val="21"/>
    <w:uiPriority w:val="9"/>
    <w:rPr>
      <w:rFonts w:ascii="Arial" w:hAnsi="Arial" w:eastAsia="Arial" w:cs="Arial"/>
      <w:b/>
      <w:bCs/>
      <w:sz w:val="24"/>
      <w:szCs w:val="24"/>
    </w:rPr>
  </w:style>
  <w:style w:type="paragraph" w:styleId="23">
    <w:name w:val="Heading 6"/>
    <w:basedOn w:val="620"/>
    <w:next w:val="620"/>
    <w:link w:val="24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24">
    <w:name w:val="Heading 6 Char"/>
    <w:basedOn w:val="11"/>
    <w:link w:val="23"/>
    <w:uiPriority w:val="9"/>
    <w:rPr>
      <w:rFonts w:ascii="Arial" w:hAnsi="Arial" w:eastAsia="Arial" w:cs="Arial"/>
      <w:b/>
      <w:bCs/>
      <w:sz w:val="22"/>
      <w:szCs w:val="22"/>
    </w:rPr>
  </w:style>
  <w:style w:type="paragraph" w:styleId="25">
    <w:name w:val="Heading 7"/>
    <w:basedOn w:val="620"/>
    <w:next w:val="620"/>
    <w:link w:val="26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26">
    <w:name w:val="Heading 7 Char"/>
    <w:basedOn w:val="11"/>
    <w:link w:val="25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27">
    <w:name w:val="Heading 8"/>
    <w:basedOn w:val="620"/>
    <w:next w:val="620"/>
    <w:link w:val="28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28">
    <w:name w:val="Heading 8 Char"/>
    <w:basedOn w:val="11"/>
    <w:link w:val="27"/>
    <w:uiPriority w:val="9"/>
    <w:rPr>
      <w:rFonts w:ascii="Arial" w:hAnsi="Arial" w:eastAsia="Arial" w:cs="Arial"/>
      <w:i/>
      <w:iCs/>
      <w:sz w:val="22"/>
      <w:szCs w:val="22"/>
    </w:rPr>
  </w:style>
  <w:style w:type="paragraph" w:styleId="29">
    <w:name w:val="Heading 9"/>
    <w:basedOn w:val="620"/>
    <w:next w:val="620"/>
    <w:link w:val="30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30">
    <w:name w:val="Heading 9 Char"/>
    <w:basedOn w:val="11"/>
    <w:link w:val="29"/>
    <w:uiPriority w:val="9"/>
    <w:rPr>
      <w:rFonts w:ascii="Arial" w:hAnsi="Arial" w:eastAsia="Arial" w:cs="Arial"/>
      <w:i/>
      <w:iCs/>
      <w:sz w:val="21"/>
      <w:szCs w:val="21"/>
    </w:rPr>
  </w:style>
  <w:style w:type="paragraph" w:styleId="31">
    <w:name w:val="List Paragraph"/>
    <w:basedOn w:val="620"/>
    <w:uiPriority w:val="34"/>
    <w:qFormat/>
    <w:pPr>
      <w:contextualSpacing/>
      <w:ind w:left="720"/>
    </w:pPr>
  </w:style>
  <w:style w:type="paragraph" w:styleId="33">
    <w:name w:val="No Spacing"/>
    <w:uiPriority w:val="1"/>
    <w:qFormat/>
    <w:pPr>
      <w:spacing w:before="0" w:after="0" w:line="240" w:lineRule="auto"/>
    </w:pPr>
  </w:style>
  <w:style w:type="paragraph" w:styleId="34">
    <w:name w:val="Title"/>
    <w:basedOn w:val="620"/>
    <w:next w:val="620"/>
    <w:link w:val="35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35">
    <w:name w:val="Title Char"/>
    <w:basedOn w:val="11"/>
    <w:link w:val="34"/>
    <w:uiPriority w:val="10"/>
    <w:rPr>
      <w:sz w:val="48"/>
      <w:szCs w:val="48"/>
    </w:rPr>
  </w:style>
  <w:style w:type="paragraph" w:styleId="36">
    <w:name w:val="Subtitle"/>
    <w:basedOn w:val="620"/>
    <w:next w:val="620"/>
    <w:link w:val="37"/>
    <w:uiPriority w:val="11"/>
    <w:qFormat/>
    <w:pPr>
      <w:spacing w:before="200" w:after="200"/>
    </w:pPr>
    <w:rPr>
      <w:sz w:val="24"/>
      <w:szCs w:val="24"/>
    </w:rPr>
  </w:style>
  <w:style w:type="character" w:styleId="37">
    <w:name w:val="Subtitle Char"/>
    <w:basedOn w:val="11"/>
    <w:link w:val="36"/>
    <w:uiPriority w:val="11"/>
    <w:rPr>
      <w:sz w:val="24"/>
      <w:szCs w:val="24"/>
    </w:rPr>
  </w:style>
  <w:style w:type="paragraph" w:styleId="38">
    <w:name w:val="Quote"/>
    <w:basedOn w:val="620"/>
    <w:next w:val="620"/>
    <w:link w:val="39"/>
    <w:uiPriority w:val="29"/>
    <w:qFormat/>
    <w:pPr>
      <w:ind w:left="720" w:right="720"/>
    </w:pPr>
    <w:rPr>
      <w:i/>
    </w:rPr>
  </w:style>
  <w:style w:type="character" w:styleId="39">
    <w:name w:val="Quote Char"/>
    <w:link w:val="38"/>
    <w:uiPriority w:val="29"/>
    <w:rPr>
      <w:i/>
    </w:rPr>
  </w:style>
  <w:style w:type="paragraph" w:styleId="40">
    <w:name w:val="Intense Quote"/>
    <w:basedOn w:val="620"/>
    <w:next w:val="620"/>
    <w:link w:val="41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41">
    <w:name w:val="Intense Quote Char"/>
    <w:link w:val="40"/>
    <w:uiPriority w:val="30"/>
    <w:rPr>
      <w:i/>
    </w:rPr>
  </w:style>
  <w:style w:type="paragraph" w:styleId="42">
    <w:name w:val="Header"/>
    <w:basedOn w:val="620"/>
    <w:link w:val="43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43">
    <w:name w:val="Header Char"/>
    <w:basedOn w:val="11"/>
    <w:link w:val="42"/>
    <w:uiPriority w:val="99"/>
  </w:style>
  <w:style w:type="paragraph" w:styleId="44">
    <w:name w:val="Footer"/>
    <w:basedOn w:val="620"/>
    <w:link w:val="47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45">
    <w:name w:val="Footer Char"/>
    <w:basedOn w:val="11"/>
    <w:link w:val="44"/>
    <w:uiPriority w:val="99"/>
  </w:style>
  <w:style w:type="character" w:styleId="47">
    <w:name w:val="Caption Char"/>
    <w:basedOn w:val="633"/>
    <w:link w:val="44"/>
    <w:uiPriority w:val="99"/>
  </w:style>
  <w:style w:type="table" w:styleId="48">
    <w:name w:val="Table Grid"/>
    <w:basedOn w:val="619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49">
    <w:name w:val="Table Grid Light"/>
    <w:basedOn w:val="619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50">
    <w:name w:val="Plain Table 1"/>
    <w:basedOn w:val="619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1">
    <w:name w:val="Plain Table 2"/>
    <w:basedOn w:val="619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2">
    <w:name w:val="Plain Table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53">
    <w:name w:val="Plain Table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4">
    <w:name w:val="Plain Table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55">
    <w:name w:val="Grid Table 1 Light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6">
    <w:name w:val="Grid Table 1 Light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7">
    <w:name w:val="Grid Table 1 Light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8">
    <w:name w:val="Grid Table 1 Light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9">
    <w:name w:val="Grid Table 1 Light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0">
    <w:name w:val="Grid Table 1 Light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1">
    <w:name w:val="Grid Table 1 Light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2">
    <w:name w:val="Grid Table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3">
    <w:name w:val="Grid Table 2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4">
    <w:name w:val="Grid Table 2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5">
    <w:name w:val="Grid Table 2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6">
    <w:name w:val="Grid Table 2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7">
    <w:name w:val="Grid Table 2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8">
    <w:name w:val="Grid Table 2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9">
    <w:name w:val="Grid Table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">
    <w:name w:val="Grid Table 3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">
    <w:name w:val="Grid Table 3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">
    <w:name w:val="Grid Table 3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">
    <w:name w:val="Grid Table 3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">
    <w:name w:val="Grid Table 3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">
    <w:name w:val="Grid Table 3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">
    <w:name w:val="Grid Table 4"/>
    <w:basedOn w:val="61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7">
    <w:name w:val="Grid Table 4 - Accent 1"/>
    <w:basedOn w:val="61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d8d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8">
    <w:name w:val="Grid Table 4 - Accent 2"/>
    <w:basedOn w:val="61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9">
    <w:name w:val="Grid Table 4 - Accent 3"/>
    <w:basedOn w:val="61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9bba59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80">
    <w:name w:val="Grid Table 4 - Accent 4"/>
    <w:basedOn w:val="61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81">
    <w:name w:val="Grid Table 4 - Accent 5"/>
    <w:basedOn w:val="61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82">
    <w:name w:val="Grid Table 4 - Accent 6"/>
    <w:basedOn w:val="61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83">
    <w:name w:val="Grid Table 5 Dark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84">
    <w:name w:val="Grid Table 5 Dark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blStylePr w:type="band1Horz">
      <w:tcPr>
        <w:shd w:val="clear" w:color="ffffff" w:themeColor="accent1" w:themeTint="75" w:fill="adc5e0" w:themeFill="accent1" w:themeFillTint="75"/>
      </w:tcPr>
    </w:tblStylePr>
    <w:tblStylePr w:type="band1Vert">
      <w:tcPr>
        <w:shd w:val="clear" w:color="ffffff" w:themeColor="accent1" w:themeTint="75" w:fill="adc5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</w:style>
  <w:style w:type="table" w:styleId="85">
    <w:name w:val="Grid Table 5 Dark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blStylePr w:type="band1Horz">
      <w:tcPr>
        <w:shd w:val="clear" w:color="ffffff" w:themeColor="accent2" w:themeTint="75" w:fill="e1adac" w:themeFill="accent2" w:themeFillTint="75"/>
      </w:tcPr>
    </w:tblStylePr>
    <w:tblStylePr w:type="band1Vert">
      <w:tcPr>
        <w:shd w:val="clear" w:color="ffffff" w:themeColor="accent2" w:themeTint="75" w:fill="e1adac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</w:style>
  <w:style w:type="table" w:styleId="86">
    <w:name w:val="Grid Table 5 Dark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blStylePr w:type="band1Horz">
      <w:tcPr>
        <w:shd w:val="clear" w:color="ffffff" w:themeColor="accent3" w:themeTint="75" w:fill="d1dfb2" w:themeFill="accent3" w:themeFillTint="75"/>
      </w:tcPr>
    </w:tblStylePr>
    <w:tblStylePr w:type="band1Vert">
      <w:tcPr>
        <w:shd w:val="clear" w:color="ffffff" w:themeColor="accent3" w:themeTint="75" w:fill="d1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</w:style>
  <w:style w:type="table" w:styleId="87">
    <w:name w:val="Grid Table 5 Dark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blStylePr w:type="band1Horz">
      <w:tcPr>
        <w:shd w:val="clear" w:color="ffffff" w:themeColor="accent4" w:themeTint="75" w:fill="c4b7d4" w:themeFill="accent4" w:themeFillTint="75"/>
      </w:tcPr>
    </w:tblStylePr>
    <w:tblStylePr w:type="band1Vert">
      <w:tcPr>
        <w:shd w:val="clear" w:color="ffffff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</w:style>
  <w:style w:type="table" w:styleId="88">
    <w:name w:val="Grid Table 5 Dark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blStylePr w:type="band1Horz">
      <w:tcPr>
        <w:shd w:val="clear" w:color="ffffff" w:themeColor="accent5" w:themeTint="75" w:fill="abd9e4" w:themeFill="accent5" w:themeFillTint="75"/>
      </w:tcPr>
    </w:tblStylePr>
    <w:tblStylePr w:type="band1Vert">
      <w:tcPr>
        <w:shd w:val="clear" w:color="ffffff" w:themeColor="accent5" w:themeTint="75" w:fill="abd9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</w:style>
  <w:style w:type="table" w:styleId="89">
    <w:name w:val="Grid Table 5 Dark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blStylePr w:type="band1Horz">
      <w:tcPr>
        <w:shd w:val="clear" w:color="ffffff" w:themeColor="accent6" w:themeTint="75" w:fill="fbcda8" w:themeFill="accent6" w:themeFillTint="75"/>
      </w:tcPr>
    </w:tblStylePr>
    <w:tblStylePr w:type="band1Vert">
      <w:tcPr>
        <w:shd w:val="clear" w:color="ffffff" w:themeColor="accent6" w:themeTint="75" w:fill="fbcd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</w:style>
  <w:style w:type="table" w:styleId="90">
    <w:name w:val="Grid Table 6 Colorful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91">
    <w:name w:val="Grid Table 6 Colorful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92">
    <w:name w:val="Grid Table 6 Colorful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93">
    <w:name w:val="Grid Table 6 Colorful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94">
    <w:name w:val="Grid Table 6 Colorful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95">
    <w:name w:val="Grid Table 6 Colorful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6">
    <w:name w:val="Grid Table 6 Colorful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7">
    <w:name w:val="Grid Table 7 Colorful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</w:style>
  <w:style w:type="table" w:styleId="98">
    <w:name w:val="Grid Table 7 Colorful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themeTint="80" w:sz="4" w:space="0"/>
          <w:right w:val="none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color="ffffff"/>
        <w:tcBorders>
          <w:top w:val="none"/>
          <w:left w:val="single" w:color="000000" w:themeColor="accen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/>
          <w:bottom w:val="none"/>
          <w:right w:val="none"/>
        </w:tcBorders>
      </w:tcPr>
    </w:tblStylePr>
  </w:style>
  <w:style w:type="table" w:styleId="99">
    <w:name w:val="Grid Table 7 Colorful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</w:style>
  <w:style w:type="table" w:styleId="100">
    <w:name w:val="Grid Table 7 Colorful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FE" w:sz="4" w:space="0"/>
          <w:right w:val="none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color="ffffff"/>
        <w:tcBorders>
          <w:top w:val="none"/>
          <w:left w:val="single" w:color="000000" w:themeColor="accent3" w:themeTint="FE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/>
          <w:bottom w:val="none"/>
          <w:right w:val="none"/>
        </w:tcBorders>
      </w:tcPr>
    </w:tblStylePr>
  </w:style>
  <w:style w:type="table" w:styleId="101">
    <w:name w:val="Grid Table 7 Colorful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</w:style>
  <w:style w:type="table" w:styleId="102">
    <w:name w:val="Grid Table 7 Colorful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0" w:sz="4" w:space="0"/>
          <w:right w:val="none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color="ffffff"/>
        <w:tcBorders>
          <w:top w:val="none"/>
          <w:left w:val="single" w:color="000000" w:themeColor="accent5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/>
          <w:bottom w:val="none"/>
          <w:right w:val="none"/>
        </w:tcBorders>
      </w:tcPr>
    </w:tblStylePr>
  </w:style>
  <w:style w:type="table" w:styleId="103">
    <w:name w:val="Grid Table 7 Colorful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0" w:sz="4" w:space="0"/>
          <w:right w:val="none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color="ffffff"/>
        <w:tcBorders>
          <w:top w:val="none"/>
          <w:left w:val="single" w:color="000000" w:themeColor="accent6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/>
          <w:bottom w:val="none"/>
          <w:right w:val="none"/>
        </w:tcBorders>
      </w:tcPr>
    </w:tblStylePr>
  </w:style>
  <w:style w:type="table" w:styleId="104">
    <w:name w:val="List Table 1 Light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5">
    <w:name w:val="List Table 1 Light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6">
    <w:name w:val="List Table 1 Light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7">
    <w:name w:val="List Table 1 Light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8">
    <w:name w:val="List Table 1 Light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9">
    <w:name w:val="List Table 1 Light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0">
    <w:name w:val="List Table 1 Light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1">
    <w:name w:val="List Table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112">
    <w:name w:val="List Table 2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113">
    <w:name w:val="List Table 2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114">
    <w:name w:val="List Table 2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115">
    <w:name w:val="List Table 2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116">
    <w:name w:val="List Table 2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117">
    <w:name w:val="List Table 2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118">
    <w:name w:val="List Table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19">
    <w:name w:val="List Table 3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0">
    <w:name w:val="List Table 3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1">
    <w:name w:val="List Table 3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2">
    <w:name w:val="List Table 3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3">
    <w:name w:val="List Table 3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1cd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4">
    <w:name w:val="List Table 3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f9bf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5">
    <w:name w:val="List Table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6">
    <w:name w:val="List Table 4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7">
    <w:name w:val="List Table 4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8">
    <w:name w:val="List Table 4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9">
    <w:name w:val="List Table 4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0">
    <w:name w:val="List Table 4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1">
    <w:name w:val="List Table 4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2">
    <w:name w:val="List Table 5 Dark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3">
    <w:name w:val="List Table 5 Dark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blStylePr w:type="band1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4">
    <w:name w:val="List Table 5 Dark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blStylePr w:type="band1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d99694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5">
    <w:name w:val="List Table 5 Dark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blStylePr w:type="band1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3d69b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3d69b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6">
    <w:name w:val="List Table 5 Dark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blStylePr w:type="band1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b2a1c6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7">
    <w:name w:val="List Table 5 Dark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blStylePr w:type="band1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1cddc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1cddc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8">
    <w:name w:val="List Table 5 Dark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blStylePr w:type="band1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f9bf90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f9bf90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9">
    <w:name w:val="List Table 6 Colorful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140">
    <w:name w:val="List Table 6 Colorful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141">
    <w:name w:val="List Table 6 Colorful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142">
    <w:name w:val="List Table 6 Colorful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143">
    <w:name w:val="List Table 6 Colorful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144">
    <w:name w:val="List Table 6 Colorful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145">
    <w:name w:val="List Table 6 Colorful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146">
    <w:name w:val="List Table 7 Colorful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147">
    <w:name w:val="List Table 7 Colorful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sz="4" w:space="0"/>
          <w:right w:val="none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color="ffffff"/>
        <w:tcBorders>
          <w:top w:val="none"/>
          <w:left w:val="single" w:color="000000" w:themeColor="accent1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148">
    <w:name w:val="List Table 7 Colorful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149">
    <w:name w:val="List Table 7 Colorful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98" w:sz="4" w:space="0"/>
          <w:right w:val="none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color="ffffff"/>
        <w:tcBorders>
          <w:top w:val="none"/>
          <w:left w:val="single" w:color="000000" w:themeColor="accent3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150">
    <w:name w:val="List Table 7 Colorful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151">
    <w:name w:val="List Table 7 Colorful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A" w:sz="4" w:space="0"/>
          <w:right w:val="none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color="ffffff"/>
        <w:tcBorders>
          <w:top w:val="none"/>
          <w:left w:val="single" w:color="000000" w:themeColor="accent5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152">
    <w:name w:val="List Table 7 Colorful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8" w:sz="4" w:space="0"/>
          <w:right w:val="none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color="ffffff"/>
        <w:tcBorders>
          <w:top w:val="none"/>
          <w:left w:val="single" w:color="000000" w:themeColor="accent6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153">
    <w:name w:val="Lined - Accent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54">
    <w:name w:val="Lined - Accent 1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155">
    <w:name w:val="Lined - Accent 2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156">
    <w:name w:val="Lined - Accent 3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157">
    <w:name w:val="Lined - Accent 4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158">
    <w:name w:val="Lined - Accent 5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159">
    <w:name w:val="Lined - Accent 6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160">
    <w:name w:val="Bordered &amp; Lined - Accent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61">
    <w:name w:val="Bordered &amp; Lined - Accent 1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162">
    <w:name w:val="Bordered &amp; Lined - Accent 2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163">
    <w:name w:val="Bordered &amp; Lined - Accent 3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164">
    <w:name w:val="Bordered &amp; Lined - Accent 4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165">
    <w:name w:val="Bordered &amp; Lined - Accent 5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166">
    <w:name w:val="Bordered &amp; Lined - Accent 6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167">
    <w:name w:val="Bordered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168">
    <w:name w:val="Bordered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169">
    <w:name w:val="Bordered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170">
    <w:name w:val="Bordered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171">
    <w:name w:val="Bordered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172">
    <w:name w:val="Bordered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173">
    <w:name w:val="Bordered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paragraph" w:styleId="175">
    <w:name w:val="footnote text"/>
    <w:basedOn w:val="620"/>
    <w:link w:val="176"/>
    <w:uiPriority w:val="99"/>
    <w:semiHidden/>
    <w:unhideWhenUsed/>
    <w:pPr>
      <w:spacing w:after="40" w:line="240" w:lineRule="auto"/>
    </w:pPr>
    <w:rPr>
      <w:sz w:val="18"/>
    </w:rPr>
  </w:style>
  <w:style w:type="character" w:styleId="176">
    <w:name w:val="Footnote Text Char"/>
    <w:link w:val="175"/>
    <w:uiPriority w:val="99"/>
    <w:rPr>
      <w:sz w:val="18"/>
    </w:rPr>
  </w:style>
  <w:style w:type="character" w:styleId="177">
    <w:name w:val="footnote reference"/>
    <w:basedOn w:val="11"/>
    <w:uiPriority w:val="99"/>
    <w:unhideWhenUsed/>
    <w:rPr>
      <w:vertAlign w:val="superscript"/>
    </w:rPr>
  </w:style>
  <w:style w:type="paragraph" w:styleId="178">
    <w:name w:val="endnote text"/>
    <w:basedOn w:val="620"/>
    <w:link w:val="179"/>
    <w:uiPriority w:val="99"/>
    <w:semiHidden/>
    <w:unhideWhenUsed/>
    <w:pPr>
      <w:spacing w:after="0" w:line="240" w:lineRule="auto"/>
    </w:pPr>
    <w:rPr>
      <w:sz w:val="20"/>
    </w:rPr>
  </w:style>
  <w:style w:type="character" w:styleId="179">
    <w:name w:val="Endnote Text Char"/>
    <w:link w:val="178"/>
    <w:uiPriority w:val="99"/>
    <w:rPr>
      <w:sz w:val="20"/>
    </w:rPr>
  </w:style>
  <w:style w:type="character" w:styleId="180">
    <w:name w:val="endnote reference"/>
    <w:basedOn w:val="11"/>
    <w:uiPriority w:val="99"/>
    <w:semiHidden/>
    <w:unhideWhenUsed/>
    <w:rPr>
      <w:vertAlign w:val="superscript"/>
    </w:rPr>
  </w:style>
  <w:style w:type="paragraph" w:styleId="181">
    <w:name w:val="toc 1"/>
    <w:basedOn w:val="620"/>
    <w:next w:val="620"/>
    <w:uiPriority w:val="39"/>
    <w:unhideWhenUsed/>
    <w:pPr>
      <w:ind w:left="0" w:right="0" w:firstLine="0"/>
      <w:spacing w:after="57"/>
    </w:pPr>
  </w:style>
  <w:style w:type="paragraph" w:styleId="182">
    <w:name w:val="toc 2"/>
    <w:basedOn w:val="620"/>
    <w:next w:val="620"/>
    <w:uiPriority w:val="39"/>
    <w:unhideWhenUsed/>
    <w:pPr>
      <w:ind w:left="283" w:right="0" w:firstLine="0"/>
      <w:spacing w:after="57"/>
    </w:pPr>
  </w:style>
  <w:style w:type="paragraph" w:styleId="183">
    <w:name w:val="toc 3"/>
    <w:basedOn w:val="620"/>
    <w:next w:val="620"/>
    <w:uiPriority w:val="39"/>
    <w:unhideWhenUsed/>
    <w:pPr>
      <w:ind w:left="567" w:right="0" w:firstLine="0"/>
      <w:spacing w:after="57"/>
    </w:pPr>
  </w:style>
  <w:style w:type="paragraph" w:styleId="184">
    <w:name w:val="toc 4"/>
    <w:basedOn w:val="620"/>
    <w:next w:val="620"/>
    <w:uiPriority w:val="39"/>
    <w:unhideWhenUsed/>
    <w:pPr>
      <w:ind w:left="850" w:right="0" w:firstLine="0"/>
      <w:spacing w:after="57"/>
    </w:pPr>
  </w:style>
  <w:style w:type="paragraph" w:styleId="185">
    <w:name w:val="toc 5"/>
    <w:basedOn w:val="620"/>
    <w:next w:val="620"/>
    <w:uiPriority w:val="39"/>
    <w:unhideWhenUsed/>
    <w:pPr>
      <w:ind w:left="1134" w:right="0" w:firstLine="0"/>
      <w:spacing w:after="57"/>
    </w:pPr>
  </w:style>
  <w:style w:type="paragraph" w:styleId="186">
    <w:name w:val="toc 6"/>
    <w:basedOn w:val="620"/>
    <w:next w:val="620"/>
    <w:uiPriority w:val="39"/>
    <w:unhideWhenUsed/>
    <w:pPr>
      <w:ind w:left="1417" w:right="0" w:firstLine="0"/>
      <w:spacing w:after="57"/>
    </w:pPr>
  </w:style>
  <w:style w:type="paragraph" w:styleId="187">
    <w:name w:val="toc 7"/>
    <w:basedOn w:val="620"/>
    <w:next w:val="620"/>
    <w:uiPriority w:val="39"/>
    <w:unhideWhenUsed/>
    <w:pPr>
      <w:ind w:left="1701" w:right="0" w:firstLine="0"/>
      <w:spacing w:after="57"/>
    </w:pPr>
  </w:style>
  <w:style w:type="paragraph" w:styleId="188">
    <w:name w:val="toc 8"/>
    <w:basedOn w:val="620"/>
    <w:next w:val="620"/>
    <w:uiPriority w:val="39"/>
    <w:unhideWhenUsed/>
    <w:pPr>
      <w:ind w:left="1984" w:right="0" w:firstLine="0"/>
      <w:spacing w:after="57"/>
    </w:pPr>
  </w:style>
  <w:style w:type="paragraph" w:styleId="189">
    <w:name w:val="toc 9"/>
    <w:basedOn w:val="620"/>
    <w:next w:val="620"/>
    <w:uiPriority w:val="39"/>
    <w:unhideWhenUsed/>
    <w:pPr>
      <w:ind w:left="2268" w:right="0" w:firstLine="0"/>
      <w:spacing w:after="57"/>
    </w:pPr>
  </w:style>
  <w:style w:type="paragraph" w:styleId="190">
    <w:name w:val="TOC Heading"/>
    <w:uiPriority w:val="39"/>
    <w:unhideWhenUsed/>
  </w:style>
  <w:style w:type="paragraph" w:styleId="191">
    <w:name w:val="table of figures"/>
    <w:basedOn w:val="620"/>
    <w:next w:val="620"/>
    <w:uiPriority w:val="99"/>
    <w:unhideWhenUsed/>
    <w:pPr>
      <w:spacing w:after="0" w:afterAutospacing="0"/>
    </w:pPr>
  </w:style>
  <w:style w:type="table" w:styleId="619" w:default="1">
    <w:name w:val="Normal Table"/>
    <w:uiPriority w:val="99"/>
    <w:semiHidden/>
    <w:unhideWhenUsed/>
    <w:qFormat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paragraph" w:styleId="620" w:default="1">
    <w:name w:val="Normal"/>
    <w:next w:val="620"/>
    <w:pPr>
      <w:widowControl/>
    </w:pPr>
    <w:rPr>
      <w:rFonts w:ascii="Times New Roman" w:hAnsi="Times New Roman" w:eastAsia="Times New Roman" w:cs="Times New Roman"/>
      <w:color w:val="auto"/>
      <w:sz w:val="22"/>
      <w:szCs w:val="20"/>
      <w:lang w:val="ru-RU" w:eastAsia="zh-CN" w:bidi="ar-SA"/>
    </w:rPr>
  </w:style>
  <w:style w:type="paragraph" w:styleId="621">
    <w:name w:val="Heading 1"/>
    <w:basedOn w:val="620"/>
    <w:next w:val="620"/>
    <w:link w:val="620"/>
    <w:pPr>
      <w:numPr>
        <w:ilvl w:val="0"/>
        <w:numId w:val="1"/>
      </w:numPr>
      <w:jc w:val="center"/>
      <w:keepNext/>
      <w:outlineLvl w:val="0"/>
    </w:pPr>
    <w:rPr>
      <w:b/>
      <w:sz w:val="24"/>
    </w:rPr>
  </w:style>
  <w:style w:type="paragraph" w:styleId="622">
    <w:name w:val="Heading 2"/>
    <w:basedOn w:val="620"/>
    <w:next w:val="620"/>
    <w:link w:val="620"/>
    <w:pPr>
      <w:numPr>
        <w:ilvl w:val="1"/>
        <w:numId w:val="1"/>
      </w:numPr>
      <w:keepLines/>
      <w:keepNext/>
      <w:spacing w:before="200" w:after="0"/>
      <w:outlineLvl w:val="1"/>
    </w:pPr>
    <w:rPr>
      <w:rFonts w:ascii="Cambria" w:hAnsi="Cambria" w:eastAsia="Times New Roman" w:cs="Times New Roman"/>
      <w:b/>
      <w:bCs/>
      <w:color w:val="4f81bd"/>
      <w:sz w:val="26"/>
      <w:szCs w:val="26"/>
    </w:rPr>
  </w:style>
  <w:style w:type="paragraph" w:styleId="623">
    <w:name w:val="Heading 3"/>
    <w:basedOn w:val="620"/>
    <w:next w:val="620"/>
    <w:link w:val="620"/>
    <w:pPr>
      <w:numPr>
        <w:ilvl w:val="2"/>
        <w:numId w:val="1"/>
      </w:numPr>
      <w:keepLines/>
      <w:keepNext/>
      <w:spacing w:before="200" w:after="0"/>
      <w:outlineLvl w:val="2"/>
    </w:pPr>
    <w:rPr>
      <w:rFonts w:ascii="Cambria" w:hAnsi="Cambria" w:eastAsia="Times New Roman" w:cs="Times New Roman"/>
      <w:b/>
      <w:bCs/>
      <w:color w:val="4f81bd"/>
    </w:rPr>
  </w:style>
  <w:style w:type="character" w:styleId="624">
    <w:name w:val="Основной шрифт абзаца"/>
    <w:next w:val="624"/>
    <w:link w:val="620"/>
  </w:style>
  <w:style w:type="character" w:styleId="625">
    <w:name w:val="Заголовок 1 Знак"/>
    <w:basedOn w:val="624"/>
    <w:next w:val="625"/>
    <w:link w:val="620"/>
    <w:rPr>
      <w:rFonts w:ascii="Times New Roman" w:hAnsi="Times New Roman" w:eastAsia="Times New Roman" w:cs="Times New Roman"/>
      <w:b/>
      <w:sz w:val="24"/>
      <w:szCs w:val="20"/>
    </w:rPr>
  </w:style>
  <w:style w:type="character" w:styleId="626">
    <w:name w:val="Заголовок 2 Знак"/>
    <w:basedOn w:val="624"/>
    <w:next w:val="626"/>
    <w:link w:val="620"/>
    <w:rPr>
      <w:rFonts w:ascii="Cambria" w:hAnsi="Cambria" w:eastAsia="Times New Roman" w:cs="Times New Roman"/>
      <w:b/>
      <w:bCs/>
      <w:color w:val="4f81bd"/>
      <w:sz w:val="26"/>
      <w:szCs w:val="26"/>
    </w:rPr>
  </w:style>
  <w:style w:type="character" w:styleId="627">
    <w:name w:val="Заголовок 3 Знак"/>
    <w:basedOn w:val="624"/>
    <w:next w:val="627"/>
    <w:link w:val="620"/>
    <w:rPr>
      <w:rFonts w:ascii="Cambria" w:hAnsi="Cambria" w:eastAsia="Times New Roman" w:cs="Times New Roman"/>
      <w:b/>
      <w:bCs/>
      <w:color w:val="4f81bd"/>
      <w:szCs w:val="20"/>
    </w:rPr>
  </w:style>
  <w:style w:type="character" w:styleId="628">
    <w:name w:val="Hyperlink"/>
    <w:basedOn w:val="624"/>
    <w:next w:val="628"/>
    <w:link w:val="620"/>
    <w:rPr>
      <w:color w:val="0000ff"/>
      <w:u w:val="single"/>
    </w:rPr>
  </w:style>
  <w:style w:type="character" w:styleId="629">
    <w:name w:val="info__info-item-text"/>
    <w:basedOn w:val="624"/>
    <w:next w:val="629"/>
    <w:link w:val="620"/>
  </w:style>
  <w:style w:type="paragraph" w:styleId="630">
    <w:name w:val="Заголовок"/>
    <w:basedOn w:val="620"/>
    <w:next w:val="631"/>
    <w:link w:val="620"/>
    <w:pPr>
      <w:keepNext/>
      <w:spacing w:before="240" w:after="120"/>
    </w:pPr>
    <w:rPr>
      <w:rFonts w:ascii="PT Astra Serif" w:hAnsi="PT Astra Serif" w:eastAsia="Tahoma" w:cs="Noto Sans Devanagari"/>
      <w:sz w:val="28"/>
      <w:szCs w:val="28"/>
    </w:rPr>
  </w:style>
  <w:style w:type="paragraph" w:styleId="631">
    <w:name w:val="Body Text"/>
    <w:basedOn w:val="620"/>
    <w:next w:val="631"/>
    <w:link w:val="620"/>
    <w:pPr>
      <w:spacing w:before="0" w:after="140" w:line="276" w:lineRule="auto"/>
    </w:pPr>
  </w:style>
  <w:style w:type="paragraph" w:styleId="632">
    <w:name w:val="List"/>
    <w:basedOn w:val="631"/>
    <w:next w:val="632"/>
    <w:link w:val="620"/>
    <w:rPr>
      <w:rFonts w:ascii="PT Astra Serif" w:hAnsi="PT Astra Serif" w:cs="Noto Sans Devanagari"/>
    </w:rPr>
  </w:style>
  <w:style w:type="paragraph" w:styleId="633">
    <w:name w:val="Caption"/>
    <w:basedOn w:val="620"/>
    <w:next w:val="633"/>
    <w:link w:val="620"/>
    <w:pPr>
      <w:spacing w:before="120" w:after="120"/>
      <w:suppressLineNumbers/>
    </w:pPr>
    <w:rPr>
      <w:rFonts w:ascii="PT Astra Serif" w:hAnsi="PT Astra Serif"/>
      <w:i/>
      <w:iCs/>
      <w:sz w:val="24"/>
      <w:szCs w:val="24"/>
    </w:rPr>
  </w:style>
  <w:style w:type="paragraph" w:styleId="634">
    <w:name w:val="Указатель"/>
    <w:basedOn w:val="620"/>
    <w:next w:val="634"/>
    <w:link w:val="620"/>
    <w:pPr>
      <w:suppressLineNumbers/>
    </w:pPr>
    <w:rPr>
      <w:rFonts w:ascii="PT Astra Serif" w:hAnsi="PT Astra Serif" w:cs="Noto Sans Devanagari"/>
    </w:rPr>
  </w:style>
  <w:style w:type="paragraph" w:styleId="635">
    <w:name w:val="caption1"/>
    <w:basedOn w:val="620"/>
    <w:next w:val="635"/>
    <w:link w:val="620"/>
    <w:pPr>
      <w:spacing w:before="120" w:after="120"/>
      <w:suppressLineNumbers/>
    </w:pPr>
    <w:rPr>
      <w:rFonts w:ascii="PT Astra Serif" w:hAnsi="PT Astra Serif" w:cs="PT Astra Serif"/>
      <w:i/>
      <w:iCs/>
      <w:sz w:val="24"/>
      <w:szCs w:val="24"/>
    </w:rPr>
  </w:style>
  <w:style w:type="paragraph" w:styleId="636">
    <w:name w:val="caption11"/>
    <w:basedOn w:val="620"/>
    <w:next w:val="636"/>
    <w:link w:val="620"/>
    <w:pPr>
      <w:spacing w:before="120" w:after="120"/>
      <w:suppressLineNumbers/>
    </w:pPr>
    <w:rPr>
      <w:rFonts w:ascii="PT Astra Serif" w:hAnsi="PT Astra Serif" w:cs="PT Astra Serif"/>
      <w:i/>
      <w:iCs/>
      <w:sz w:val="24"/>
      <w:szCs w:val="24"/>
    </w:rPr>
  </w:style>
  <w:style w:type="paragraph" w:styleId="637">
    <w:name w:val="caption111"/>
    <w:basedOn w:val="620"/>
    <w:next w:val="637"/>
    <w:link w:val="620"/>
    <w:pPr>
      <w:spacing w:before="120" w:after="120"/>
      <w:suppressLineNumbers/>
    </w:pPr>
    <w:rPr>
      <w:rFonts w:ascii="PT Astra Serif" w:hAnsi="PT Astra Serif" w:cs="Noto Sans Devanagari"/>
      <w:i/>
      <w:iCs/>
      <w:sz w:val="24"/>
      <w:szCs w:val="24"/>
    </w:rPr>
  </w:style>
  <w:style w:type="character" w:styleId="844" w:default="1">
    <w:name w:val="Default Paragraph Font"/>
    <w:uiPriority w:val="1"/>
    <w:semiHidden/>
    <w:unhideWhenUsed/>
  </w:style>
  <w:style w:type="numbering" w:styleId="845" w:default="1">
    <w:name w:val="No List"/>
    <w:uiPriority w:val="99"/>
    <w:semiHidden/>
    <w:unhideWhenUsed/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Р7-Офис/2024.1.3.422</Application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Arhitekt1</dc:creator>
  <cp:revision>8</cp:revision>
  <dcterms:created xsi:type="dcterms:W3CDTF">2024-10-22T02:52:00Z</dcterms:created>
  <dcterms:modified xsi:type="dcterms:W3CDTF">2025-05-26T02:32:47Z</dcterms:modified>
</cp:coreProperties>
</file>