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72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Российская Федерация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p>
      <w:pPr>
        <w:pStyle w:val="872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Иркутская область 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p>
      <w:pPr>
        <w:pStyle w:val="874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Муниципальное образование «Тайшетский район»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p>
      <w:pPr>
        <w:pStyle w:val="872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Тайшетское муниципальное образование</w:t>
      </w:r>
      <w:r>
        <w:rPr>
          <w:b/>
          <w:bCs/>
          <w:sz w:val="24"/>
          <w:szCs w:val="24"/>
        </w:rPr>
      </w:r>
    </w:p>
    <w:p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«Тайшетское городское поселение»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p>
      <w:pPr>
        <w:pStyle w:val="87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АДМИНИСТРАЦИЯ ТАЙШЕТСКОГО ГОРОДСКОГО ПОСЕЛЕНИЯ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872"/>
        <w:jc w:val="center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7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 О С Т А Н О В Л Е Н И Е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872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72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От 26.05.</w:t>
      </w:r>
      <w:r>
        <w:rPr>
          <w:b w:val="0"/>
          <w:bCs w:val="0"/>
          <w:sz w:val="24"/>
          <w:szCs w:val="24"/>
        </w:rPr>
        <w:t xml:space="preserve">20</w:t>
      </w:r>
      <w:r>
        <w:rPr>
          <w:b w:val="0"/>
          <w:bCs w:val="0"/>
          <w:sz w:val="24"/>
          <w:szCs w:val="24"/>
        </w:rPr>
        <w:t xml:space="preserve">25</w:t>
      </w:r>
      <w:r>
        <w:rPr>
          <w:b w:val="0"/>
          <w:bCs w:val="0"/>
          <w:sz w:val="24"/>
          <w:szCs w:val="24"/>
        </w:rPr>
        <w:t xml:space="preserve">г. </w:t>
        <w:tab/>
        <w:tab/>
        <w:tab/>
        <w:tab/>
        <w:t xml:space="preserve">г.Тайшет </w:t>
        <w:tab/>
        <w:tab/>
        <w:tab/>
        <w:tab/>
        <w:tab/>
      </w:r>
      <w:r>
        <w:rPr>
          <w:b w:val="0"/>
          <w:bCs w:val="0"/>
          <w:sz w:val="24"/>
          <w:szCs w:val="24"/>
        </w:rPr>
        <w:t xml:space="preserve">№425</w:t>
      </w:r>
      <w:r>
        <w:rPr>
          <w:b w:val="0"/>
          <w:bCs w:val="0"/>
          <w:sz w:val="24"/>
          <w:szCs w:val="24"/>
        </w:rPr>
      </w:r>
    </w:p>
    <w:p>
      <w:pPr>
        <w:pStyle w:val="872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72"/>
        <w:ind w:right="4989"/>
        <w:jc w:val="both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t xml:space="preserve">О внесении  изменений в </w:t>
      </w:r>
      <w:r>
        <w:rPr>
          <w:b w:val="0"/>
          <w:bCs w:val="0"/>
          <w:sz w:val="24"/>
          <w:szCs w:val="24"/>
        </w:rPr>
        <w:t xml:space="preserve">К</w:t>
      </w:r>
      <w:r>
        <w:rPr>
          <w:b w:val="0"/>
          <w:bCs w:val="0"/>
          <w:sz w:val="24"/>
          <w:szCs w:val="24"/>
        </w:rPr>
        <w:t xml:space="preserve">онцессионное</w:t>
      </w:r>
      <w:r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  <w:t xml:space="preserve">соглашение от</w:t>
      </w:r>
      <w:r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  <w:t xml:space="preserve">13</w:t>
      </w:r>
      <w:r>
        <w:rPr>
          <w:b w:val="0"/>
          <w:bCs w:val="0"/>
          <w:sz w:val="24"/>
          <w:szCs w:val="24"/>
        </w:rPr>
        <w:t xml:space="preserve"> декабря 20</w:t>
      </w:r>
      <w:r>
        <w:rPr>
          <w:b w:val="0"/>
          <w:bCs w:val="0"/>
          <w:sz w:val="24"/>
          <w:szCs w:val="24"/>
        </w:rPr>
        <w:t xml:space="preserve">13</w:t>
      </w:r>
      <w:r>
        <w:rPr>
          <w:b w:val="0"/>
          <w:bCs w:val="0"/>
          <w:sz w:val="24"/>
          <w:szCs w:val="24"/>
        </w:rPr>
        <w:t xml:space="preserve">г</w:t>
      </w:r>
      <w:r>
        <w:rPr>
          <w:b w:val="0"/>
          <w:bCs w:val="0"/>
          <w:sz w:val="24"/>
          <w:szCs w:val="24"/>
        </w:rPr>
        <w:t xml:space="preserve">ода</w:t>
      </w:r>
      <w:r>
        <w:rPr>
          <w:b w:val="0"/>
          <w:bCs w:val="0"/>
          <w:sz w:val="24"/>
          <w:szCs w:val="24"/>
        </w:rPr>
        <w:t xml:space="preserve"> №</w:t>
      </w:r>
      <w:r>
        <w:rPr>
          <w:b w:val="0"/>
          <w:bCs w:val="0"/>
          <w:sz w:val="24"/>
          <w:szCs w:val="24"/>
        </w:rPr>
        <w:t xml:space="preserve">803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72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86"/>
        <w:ind w:firstLine="720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На основании письма АО «Байкалэнерго» от 1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9 мая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20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25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года, р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уководствуясь Федеральным законом от 21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июля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2005 №115-ФЗ «О концессионных соглашениях»,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в соответствии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со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ст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атьями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6, 23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, 46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Устава Тайшетского муниципального образования «Тайшетское городское поселение»,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Положением «Об администрации Тайшетского городского поселения», утвержденным решением Думы Тайшетского городского поселения от 30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августа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2018 года №63, Положением «О порядке управления и распоряжения муниципальным имуществом Тайшетского муниципального образования «Тайшетское городское поселение», утвержденным решением Думы Тайшетского городского поселения  от 27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января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2006 г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ода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№34,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Концессионн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ым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соглашени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ем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№803 от 13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декабря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2013г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ода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,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администрация Та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йшетского городского поселения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872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72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 О С Т А Н О В Л Я ЕТ: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872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72"/>
        <w:ind w:left="0" w:firstLine="72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  <w:t xml:space="preserve">1. Внести в </w:t>
      </w:r>
      <w:r>
        <w:rPr>
          <w:sz w:val="24"/>
          <w:szCs w:val="24"/>
        </w:rPr>
        <w:t xml:space="preserve">К</w:t>
      </w:r>
      <w:r>
        <w:rPr>
          <w:sz w:val="24"/>
          <w:szCs w:val="24"/>
        </w:rPr>
        <w:t xml:space="preserve">онцессионное соглашение</w:t>
      </w:r>
      <w:r>
        <w:rPr>
          <w:sz w:val="24"/>
          <w:szCs w:val="24"/>
        </w:rPr>
        <w:t xml:space="preserve"> в целях реконструкции (модернизации) муниципального имущества Тайшетского муниципального образования «Тайшетское городское поселение» – объектов коммунальной инфраструктуры теплоснабжения, расположенных на территории Тайшетского городского поселения</w:t>
      </w:r>
      <w:r>
        <w:rPr>
          <w:sz w:val="24"/>
          <w:szCs w:val="24"/>
        </w:rPr>
        <w:t xml:space="preserve"> от 13</w:t>
      </w:r>
      <w:r>
        <w:rPr>
          <w:sz w:val="24"/>
          <w:szCs w:val="24"/>
        </w:rPr>
        <w:t xml:space="preserve"> декабря </w:t>
      </w:r>
      <w:r>
        <w:rPr>
          <w:sz w:val="24"/>
          <w:szCs w:val="24"/>
        </w:rPr>
        <w:t xml:space="preserve">2013 г</w:t>
      </w:r>
      <w:r>
        <w:rPr>
          <w:sz w:val="24"/>
          <w:szCs w:val="24"/>
        </w:rPr>
        <w:t xml:space="preserve">ода</w:t>
      </w:r>
      <w:r>
        <w:rPr>
          <w:sz w:val="24"/>
          <w:szCs w:val="24"/>
        </w:rPr>
        <w:t xml:space="preserve"> №803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следующие изменения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72"/>
        <w:ind w:left="0" w:firstLine="720"/>
        <w:jc w:val="both"/>
        <w:rPr>
          <w:sz w:val="24"/>
          <w:szCs w:val="24"/>
          <w:highlight w:val="none"/>
        </w:rPr>
        <w:suppressLineNumbers w:val="0"/>
      </w:pPr>
      <w:r>
        <w:rPr>
          <w:sz w:val="24"/>
          <w:szCs w:val="24"/>
        </w:rPr>
        <w:t xml:space="preserve">1.</w:t>
      </w:r>
      <w:r>
        <w:rPr>
          <w:sz w:val="24"/>
          <w:szCs w:val="24"/>
        </w:rPr>
        <w:t xml:space="preserve">1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П</w:t>
      </w:r>
      <w:r>
        <w:rPr>
          <w:sz w:val="24"/>
          <w:szCs w:val="24"/>
        </w:rPr>
        <w:t xml:space="preserve">риложени</w:t>
      </w:r>
      <w:r>
        <w:rPr>
          <w:sz w:val="24"/>
          <w:szCs w:val="24"/>
        </w:rPr>
        <w:t xml:space="preserve">е</w:t>
      </w:r>
      <w:r>
        <w:rPr>
          <w:sz w:val="24"/>
          <w:szCs w:val="24"/>
        </w:rPr>
        <w:t xml:space="preserve"> №4 к Концессионному соглашению «</w:t>
      </w:r>
      <w:r>
        <w:rPr>
          <w:bCs/>
          <w:sz w:val="24"/>
          <w:szCs w:val="24"/>
        </w:rPr>
        <w:t xml:space="preserve">План мероприятий по реконструкции </w:t>
      </w:r>
      <w:r>
        <w:rPr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(модернизации)</w:t>
      </w:r>
      <w:r>
        <w:rPr>
          <w:bCs/>
          <w:sz w:val="24"/>
          <w:szCs w:val="24"/>
        </w:rPr>
        <w:t xml:space="preserve"> и развитию объектов по производству и распределению тепловой энергии на территории Тайшетского городского поселения и сроки их выполнения</w:t>
      </w:r>
      <w:r>
        <w:rPr>
          <w:sz w:val="24"/>
          <w:szCs w:val="24"/>
        </w:rPr>
        <w:t xml:space="preserve">»</w:t>
      </w:r>
      <w:r>
        <w:rPr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изложить в следующей редакции: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ind w:left="0" w:firstLine="0"/>
        <w:jc w:val="both"/>
        <w:suppressLineNumbers w:val="0"/>
      </w:pPr>
      <w:r>
        <w:t xml:space="preserve">«</w:t>
      </w:r>
      <w:r/>
    </w:p>
    <w:tbl>
      <w:tblPr>
        <w:tblW w:w="9354" w:type="dxa"/>
        <w:tblInd w:w="108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567"/>
        <w:gridCol w:w="1843"/>
        <w:gridCol w:w="1559"/>
        <w:gridCol w:w="3118"/>
        <w:gridCol w:w="709"/>
        <w:gridCol w:w="1559"/>
      </w:tblGrid>
      <w:tr>
        <w:tblPrEx/>
        <w:trPr>
          <w:trHeight w:val="91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№ п/п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Местонахождение объекта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Имущество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3118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Наименование мероприятия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Кол-во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Срок реализации мероприятия (год)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300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3118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300"/>
        </w:trPr>
        <w:tc>
          <w:tcPr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354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Котельная экспедиции №5: Иркутская область, г. Тайшет, ул. Тимирязева, 90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15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 Тимирязева, 90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котлы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3118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Замена топок котлов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ТШПМ-1,45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  <w:lang w:val="en-US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  <w:lang w:val="en-US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 2018-2019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15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  <w:lang w:val="en-US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  <w:lang w:val="en-US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 Тимирязева, 90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Насосы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3118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Реконструкция насосного оборудования сетевой группы котельной № 4 (замена физически изношенных и морально устаревших насосных агрегатов Д250/50)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2029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15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  <w:lang w:val="en-US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  <w:lang w:val="en-US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 Тимирязева, 90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Котельный агрегат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3118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Модернизация котельной №4 (Экспедиция №5)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Приобретение и монтаж котельного агрегата КВМ-1,25 взамен отработавшего нормативный срок КВМ-1,25 (инвентарный №10028Т)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2025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15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  <w:lang w:val="en-US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  <w:lang w:val="en-US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 Тимирязева, 90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Оборудование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3118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"Модернизация газоходов котельной №4. Устройство газоочистного оборудования." (с ПИР) (инв. №б/н)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2025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300"/>
        </w:trPr>
        <w:tc>
          <w:tcPr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354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Котельная с пристроем: Иркутская область, г. Тайшет, ул. Кирова, 224/10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00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ул. Кирова, 224/10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дымовая труба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3118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Замена металлической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дымовой трубы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не превышающий 2014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00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 Кирова, 224/10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здание котельной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3118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Ремонт здания котельной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2020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00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 Кирова, 224/10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 здание котельной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3118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Реконструкция здания котельной. Реконструкция кровли здания котельной с пристроем, г. 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 Кирова,224/10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2018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00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 Кирова, 224/10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ограждение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3118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Строительство ограждения территории котельной с пристроем, г. 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 Кирова,224/10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2019-2020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00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  <w:lang w:val="en-US"/>
              </w:rPr>
              <w:t xml:space="preserve">9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  <w:lang w:val="en-US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 Кирова, 224/10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3118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"Реконструкция системы очистки сточных вод котельной № 3 ОП "ТТС" (предпроектная документация)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2027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00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  <w:lang w:val="en-US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  <w:lang w:val="en-US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 Кирова, 224/10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Редукционная установка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3118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«Техническое перевооружение ОПО котельная №3 «Мелькомбинат». Модернизация главного паропровода от котлоагрегатов (от теплообменника). Устройство редукционной установки. (инвентарный № 40118/1)»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2025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315"/>
        </w:trPr>
        <w:tc>
          <w:tcPr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354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Котельная 1-ой очереди: Иркутская область, г. Тайшет, ул. 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11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бак аккумулятора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3118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Замена бака-аккумулятора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№2 V=500м3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не превышающий 2014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12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бак аккумулятора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3118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Замена бака-аккумулятора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№1 V=500м3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не превышающий 2015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13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дымовая труба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W w:w="3118" w:type="dxa"/>
            <w:vAlign w:val="bottom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Обследование дымовой трубы с выдачей экспертизы промышленной безопасности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не превышающий 2014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14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дымовая труба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3118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Капитальный ремонт дымовой трубы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не превышающий 2015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здание котельной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3118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Реконструкция здания котельной. Реконструкция кровли здания котельной 1-ой очереди г. 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ул. 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не превышающий 2018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855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16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здания и сооружения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W w:w="3118" w:type="dxa"/>
            <w:vAlign w:val="bottom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Ремонт зданий и сооружений, входящих в состав имущественного комплекса Котельной 1-ой очереди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 2018-2024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17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паровой котел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3118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Реконструкция котла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КЕ-25-14С ст. № 4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не превышающий 2017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810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18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приборы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W w:w="3118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Техническое перевооружение контрольно-измерительных приборов и автоматики  котлов котельной 1-ой очереди г. 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 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 2020-2023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19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фильтры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3118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Модернизация оборудования ХВО котельной 1-ой очереди (замена Na-катионитовых фильтров) котельной 1-ой очереди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 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 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2019-2024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автотракторный бокс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W w:w="3118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Строительство арочного автотракторного бокса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позднее 31.12.2030г.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915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21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ВЛ-10кВ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3118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Дооборудование воздушной линии 10кВ на участке распределительного пункта 10 кВ 06202 (котельная) резервной воздушной линией котельной 1-ой очереди  г. 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 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2020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22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none" w:color="FFFFFF" w:sz="255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кабель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Дооборудование системы электроснабжения топливоподачи резервным кабелем котельной 1-ой очереди  г. 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 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2018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23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оборудование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Техническое перевооружение оборудования  распределительной  подстанции  10 кВ (06202) котельной 1-ой очереди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2021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24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оборудование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Техническое перевооружение оборудования подстанции ТП-15-2/1600 (06379) котельной 1-ой очереди 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 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2030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 25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оборудование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Техническое перевооружение оборудования  подстанции ТП-16-2/1000 (06371) котельной 1-ой очереди 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 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2022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26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насосы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Модернизация насосного оборудования. Замена электродвигателей сетевых насосов Д 630/90 на электродвигатели с частотными преобразователями на котельной 1-ой очереди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 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2020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27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Общие мероприятия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Модернизация наружного освещения периметра котельной 1-й очереди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г. 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ул.Индустриальная, 3/1 ОП "ТТС" АО «Байкалэнерго» (инв.№ 100004)</w:t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2025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28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28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Общие мероприятия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Реконструкция системы видеонаблюдения территории котельной 1-й очереди г. 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ул.Индустриальная, 3/1 (инв.№ 100004)</w:t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2025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29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Котельный агрегат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Техническое перевооружение ОПО котельная 1-ой очереди.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Техническое перевооружение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 котельного агрегата КЕ-25-14 ст.№2 с приобретением и монтажом  вспомогательного оборудования и щита управления (инвентарный №1000062- Котел паровой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КЕ-25-14 ст.№2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)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2027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28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30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Оборудование/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система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"Реконструкция системы очистки сточных вод котельной 1-ой очереди с возможностью распространения основных технических решений на прочие теплоисточники ОП "ТТС" (предпроектная документация)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2027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31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Шкаф вытяжной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Модернизация оборудования химлаборатории котельной 1-ой очереди (инв.№ 100004). Шкаф вытяжной ЛК-1200 ШВП.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2024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32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Насосы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Реконструкция насосной группы котельной №1 в количестве 2 штук с ЦН 400/105 с установкой частотно-регулируемого привода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2034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33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Бак-аккумулятор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Техническое перевооружение резервуара металлического (Бак-аккумуляторный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воды V=700), котельной 1-ой очереди (ТКСИ)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(инв.№10027- Бак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аккумуляторный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воды V=700м3)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2030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34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Конденсатный бак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Модернизация конденсатных баков котельной 1-ой очереди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2035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35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ул.Индустриальная, 3/1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Деаэратор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Модернизация деаэратора сетевого контура ДА-200 котельной 1-ой очереди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2035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29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878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Общие мероприятия: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36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Общие мероприятия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Реконструкция (восстановление) теплоизоляции трубопроводов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тепловых сетей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В течение срока концессионного  соглашения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37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Общие мероприятия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Реконструкция и замена ветхих тепловых сетей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В течение срока концессионного  соглашения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38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Общие мероприятия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Дооборудование котельной 1-ой очереди г. Тайшет, ул. Индустриальная, 3/1, автоматическими системами, обеспечивающими пожарную безопасность в соответствии с действующими нормами и правилами.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 В течение срока концессионного  соглашения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39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Общие мероприятия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Осуществление эксплуатации Объектов и производство тепловой энергии, ее передачу в тепловые сети и транспортировку до границы балансовой принадлежности и эксплуатационной ответственности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 В течение срока концессионного  соглашения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283"/>
        </w:trPr>
        <w:tc>
          <w:tcPr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354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Котельная №2 ШПЗ: Иркутская область, г. Тайшет, ул. Гагарина, 114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40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 Гагарина, 114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Котельные агрегаты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Реконструкция, модернизация котельных агрегатов с приобретением и монтажом вспомогательного оборудования, щитов управления, золоулавливающих установок, паропроводов котельной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2032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41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 Гагарина, 114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Подогреватели сетевой воды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Реконструкция подогревателей сетевой воды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2027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42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 Гагарина, 114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Оборудования системы водоснабжения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Реконструкция, модернизация оборудования водоподготовки, резервуара холодной воды, системы водоснабжения, системы очистки сточных вод, пожаротушения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2032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43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 Гагарина, 114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Здание котельной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Реконструкция кровли здания котельной №2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2024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 Гагарина, 114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Электрооборудо-вания котельной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Реконструкция, модернизация электрооборудования котельной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2028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77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45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 Гагарина, 114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t xml:space="preserve">Здание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Монтаж модульного здания (с целью улучшения санитарно-бытовых условий персонала)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2032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164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46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 Гагарина, 114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Тракт углеподачи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00000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Техническое перевооружение и реконструкция тракта углеподачи (ограждающих конструктивных элементов и дренажной системы, аспирационных установок, системы пожаротушения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2032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  <w:tr>
        <w:tblPrEx/>
        <w:trPr>
          <w:trHeight w:val="67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47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843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г.Тайшет,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ул. Гагарина, 114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Насосы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Модернизация питательных насосов котельной №2. Замена питательных насосов (ЦНСГ 60/321 станционный №1- 1шт.,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ЦНСГ-105-196-2шт.) на современные энергоэффективные аналоги с применением ЧРП.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pStyle w:val="872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  <w:t xml:space="preserve">Не превышающий 2032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white"/>
              </w:rPr>
            </w:r>
          </w:p>
        </w:tc>
      </w:tr>
    </w:tbl>
    <w:p>
      <w:pPr>
        <w:pStyle w:val="887"/>
        <w:ind w:left="0" w:right="0" w:firstLine="0"/>
        <w:jc w:val="right"/>
        <w:spacing w:after="0"/>
        <w:tabs>
          <w:tab w:val="left" w:pos="720" w:leader="none"/>
          <w:tab w:val="right" w:pos="10065" w:leader="none"/>
        </w:tabs>
        <w:suppressLineNumbers w:val="0"/>
      </w:pPr>
      <w:r>
        <w:t xml:space="preserve">»</w:t>
      </w:r>
      <w:r/>
    </w:p>
    <w:p>
      <w:pPr>
        <w:pStyle w:val="887"/>
        <w:ind w:left="0" w:right="0" w:firstLine="720"/>
        <w:jc w:val="both"/>
        <w:spacing w:after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  <w:t xml:space="preserve">2. Отделу по управлению муниципальным имуществом администрации Тайшетского городского поселения (</w:t>
      </w:r>
      <w:r>
        <w:rPr>
          <w:sz w:val="24"/>
          <w:szCs w:val="24"/>
        </w:rPr>
        <w:t xml:space="preserve">Тун-Куй-Сю О.В.</w:t>
      </w:r>
      <w:r>
        <w:rPr>
          <w:sz w:val="24"/>
          <w:szCs w:val="24"/>
        </w:rPr>
        <w:t xml:space="preserve">)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подготовить Соглашение о внесении изменений в Концессионное соглашение от 13</w:t>
      </w:r>
      <w:r>
        <w:rPr>
          <w:sz w:val="24"/>
          <w:szCs w:val="24"/>
        </w:rPr>
        <w:t xml:space="preserve"> декабря </w:t>
      </w:r>
      <w:r>
        <w:rPr>
          <w:sz w:val="24"/>
          <w:szCs w:val="24"/>
        </w:rPr>
        <w:t xml:space="preserve">2013года №803 с АО «Байкалэнерго».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72"/>
        <w:ind w:left="0" w:right="0" w:firstLine="720"/>
        <w:jc w:val="both"/>
        <w:rPr>
          <w:b w:val="0"/>
          <w:bCs w:val="0"/>
          <w:color w:val="000000" w:themeColor="text1"/>
          <w:sz w:val="24"/>
          <w:szCs w:val="24"/>
          <w:u w:val="none"/>
        </w:rPr>
        <w:suppressLineNumbers w:val="0"/>
      </w:pPr>
      <w:r>
        <w:rPr>
          <w:sz w:val="24"/>
          <w:szCs w:val="24"/>
        </w:rPr>
        <w:t xml:space="preserve">3. Нача</w:t>
      </w:r>
      <w:r>
        <w:rPr>
          <w:sz w:val="24"/>
          <w:szCs w:val="24"/>
        </w:rPr>
        <w:t xml:space="preserve">льнику отдела по организационной работе, контролю и делопроизводству администрации Тайшетского городского поселения Бычковой В.Д. опубликовать в официальных средствах массовой информации и на официальном сайте администрации Тайшетского городского поселен</w:t>
      </w:r>
      <w:r>
        <w:rPr>
          <w:color w:val="000000" w:themeColor="text1"/>
          <w:sz w:val="24"/>
          <w:szCs w:val="24"/>
        </w:rPr>
        <w:t xml:space="preserve">ия</w:t>
      </w:r>
      <w:r>
        <w:rPr>
          <w:b/>
          <w:color w:val="000000" w:themeColor="text1"/>
          <w:sz w:val="24"/>
          <w:szCs w:val="24"/>
        </w:rPr>
        <w:t xml:space="preserve">:</w:t>
      </w:r>
      <w:r>
        <w:rPr>
          <w:b/>
          <w:color w:val="000000" w:themeColor="text1"/>
          <w:sz w:val="24"/>
          <w:szCs w:val="24"/>
          <w:u w:val="none"/>
        </w:rPr>
        <w:t xml:space="preserve"> </w:t>
      </w:r>
      <w:r>
        <w:rPr>
          <w:b w:val="0"/>
          <w:bCs w:val="0"/>
          <w:color w:val="000000" w:themeColor="text1"/>
          <w:sz w:val="24"/>
          <w:szCs w:val="24"/>
          <w:u w:val="none"/>
        </w:rPr>
        <w:fldChar w:fldCharType="begin"/>
      </w:r>
      <w:r>
        <w:rPr>
          <w:b w:val="0"/>
          <w:bCs w:val="0"/>
          <w:color w:val="000000" w:themeColor="text1"/>
          <w:sz w:val="24"/>
          <w:szCs w:val="24"/>
          <w:u w:val="none"/>
        </w:rPr>
        <w:instrText xml:space="preserve"> HYPERLINK "http://www.gorodta</w:instrText>
      </w:r>
      <w:r>
        <w:rPr>
          <w:b w:val="0"/>
          <w:bCs w:val="0"/>
          <w:color w:val="000000" w:themeColor="text1"/>
          <w:sz w:val="24"/>
          <w:szCs w:val="24"/>
          <w:u w:val="none"/>
        </w:rPr>
        <w:instrText xml:space="preserve">i</w:instrText>
      </w:r>
      <w:r>
        <w:rPr>
          <w:b w:val="0"/>
          <w:bCs w:val="0"/>
          <w:color w:val="000000" w:themeColor="text1"/>
          <w:sz w:val="24"/>
          <w:szCs w:val="24"/>
          <w:u w:val="none"/>
        </w:rPr>
        <w:instrText xml:space="preserve">shet.ru" </w:instrText>
      </w:r>
      <w:r>
        <w:rPr>
          <w:b w:val="0"/>
          <w:bCs w:val="0"/>
          <w:color w:val="000000" w:themeColor="text1"/>
          <w:sz w:val="24"/>
          <w:szCs w:val="24"/>
          <w:u w:val="none"/>
        </w:rPr>
        <w:fldChar w:fldCharType="separate"/>
      </w:r>
      <w:r>
        <w:rPr>
          <w:rStyle w:val="888"/>
          <w:b w:val="0"/>
          <w:bCs w:val="0"/>
          <w:color w:val="000000" w:themeColor="text1"/>
          <w:sz w:val="24"/>
          <w:szCs w:val="24"/>
          <w:u w:val="none"/>
        </w:rPr>
        <w:t xml:space="preserve">www.gorodtaishet.ru</w:t>
      </w:r>
      <w:r>
        <w:rPr>
          <w:b w:val="0"/>
          <w:bCs w:val="0"/>
          <w:color w:val="000000" w:themeColor="text1"/>
          <w:sz w:val="24"/>
          <w:szCs w:val="24"/>
          <w:u w:val="none"/>
        </w:rPr>
        <w:fldChar w:fldCharType="end"/>
      </w:r>
      <w:r>
        <w:rPr>
          <w:b w:val="0"/>
          <w:bCs w:val="0"/>
          <w:color w:val="000000" w:themeColor="text1"/>
          <w:sz w:val="24"/>
          <w:szCs w:val="24"/>
          <w:u w:val="none"/>
        </w:rPr>
        <w:t xml:space="preserve">. </w:t>
      </w:r>
      <w:r>
        <w:rPr>
          <w:b w:val="0"/>
          <w:bCs w:val="0"/>
          <w:color w:val="000000" w:themeColor="text1"/>
          <w:sz w:val="24"/>
          <w:szCs w:val="24"/>
          <w:u w:val="none"/>
        </w:rPr>
      </w:r>
      <w:r>
        <w:rPr>
          <w:b w:val="0"/>
          <w:bCs w:val="0"/>
          <w:color w:val="000000" w:themeColor="text1"/>
          <w:sz w:val="24"/>
          <w:szCs w:val="24"/>
          <w:u w:val="none"/>
        </w:rPr>
      </w:r>
    </w:p>
    <w:p>
      <w:pPr>
        <w:pStyle w:val="872"/>
        <w:ind w:left="0" w:right="0" w:firstLine="720"/>
        <w:jc w:val="both"/>
        <w:rPr>
          <w:b/>
          <w:sz w:val="24"/>
          <w:szCs w:val="24"/>
        </w:rPr>
        <w:suppressLineNumbers w:val="0"/>
      </w:pPr>
      <w:r>
        <w:rPr>
          <w:sz w:val="24"/>
          <w:szCs w:val="24"/>
        </w:rPr>
        <w:t xml:space="preserve">4. Контроль за исполнением настоящего постановления </w:t>
      </w:r>
      <w:r>
        <w:rPr>
          <w:sz w:val="24"/>
          <w:szCs w:val="24"/>
        </w:rPr>
        <w:t xml:space="preserve">возложить на заместителя главы Тайшетского городского поселения </w:t>
      </w:r>
      <w:r>
        <w:rPr>
          <w:sz w:val="24"/>
          <w:szCs w:val="24"/>
        </w:rPr>
        <w:t xml:space="preserve">Захарича В.В.</w:t>
      </w:r>
      <w:r>
        <w:rPr>
          <w:sz w:val="24"/>
          <w:szCs w:val="24"/>
        </w:rPr>
        <w:t xml:space="preserve">          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ind w:left="0" w:firstLine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 w:firstLine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 w:firstLine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 w:firstLine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72"/>
        <w:ind w:left="0" w:firstLine="0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Глава Тайшетского </w:t>
      </w:r>
      <w:r>
        <w:rPr>
          <w:sz w:val="24"/>
          <w:szCs w:val="24"/>
        </w:rPr>
      </w:r>
    </w:p>
    <w:p>
      <w:pPr>
        <w:ind w:left="0" w:firstLine="0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городского поселения </w:t>
        <w:tab/>
        <w:tab/>
        <w:tab/>
        <w:tab/>
        <w:tab/>
        <w:tab/>
        <w:tab/>
        <w:t xml:space="preserve"> Р.О. Леоненко</w:t>
      </w:r>
      <w:r>
        <w:rPr>
          <w:sz w:val="24"/>
          <w:szCs w:val="24"/>
        </w:rPr>
      </w:r>
      <w:r/>
    </w:p>
    <w:p>
      <w:pPr>
        <w:pStyle w:val="872"/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72"/>
        <w:ind w:left="0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Исп.: </w:t>
      </w:r>
      <w:r>
        <w:rPr>
          <w:sz w:val="24"/>
          <w:szCs w:val="24"/>
        </w:rPr>
        <w:t xml:space="preserve">Трифоненко О.В.,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72"/>
        <w:ind w:left="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Тел. 2-2</w:t>
      </w:r>
      <w:r>
        <w:rPr>
          <w:sz w:val="24"/>
          <w:szCs w:val="24"/>
        </w:rPr>
        <w:t xml:space="preserve">3</w:t>
      </w:r>
      <w:r>
        <w:rPr>
          <w:sz w:val="24"/>
          <w:szCs w:val="24"/>
        </w:rPr>
        <w:t xml:space="preserve">-</w:t>
      </w:r>
      <w:r>
        <w:rPr>
          <w:sz w:val="24"/>
          <w:szCs w:val="24"/>
        </w:rPr>
        <w:t xml:space="preserve">65</w:t>
      </w:r>
      <w:r>
        <w:rPr>
          <w:sz w:val="24"/>
          <w:szCs w:val="24"/>
        </w:rPr>
      </w:r>
      <w:r>
        <w:rPr>
          <w:sz w:val="24"/>
          <w:szCs w:val="24"/>
        </w:rPr>
      </w:r>
    </w:p>
    <w:sectPr>
      <w:footnotePr/>
      <w:endnotePr/>
      <w:type w:val="nextPage"/>
      <w:pgSz w:w="11906" w:h="16838" w:orient="portrait"/>
      <w:pgMar w:top="1134" w:right="850" w:bottom="1134" w:left="1701" w:header="720" w:footer="720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Symbol">
    <w:panose1 w:val="05010000000000000000"/>
  </w:font>
  <w:font w:name="Wingdings">
    <w:panose1 w:val="05010000000000000000"/>
  </w:font>
  <w:font w:name="Calibri">
    <w:panose1 w:val="020F0502020204030204"/>
  </w:font>
  <w:font w:name="Courier New">
    <w:panose1 w:val="02070409020205020404"/>
  </w:font>
  <w:font w:name="Tahoma">
    <w:panose1 w:val="020B060403050404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1140" w:hanging="360"/>
        <w:tabs>
          <w:tab w:val="num" w:pos="114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">
    <w:multiLevelType w:val="hybridMultilevel"/>
    <w:lvl w:ilvl="0">
      <w:start w:val="0"/>
      <w:numFmt w:val="bullet"/>
      <w:isLgl w:val="false"/>
      <w:suff w:val="tab"/>
      <w:lvlText w:val="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870" w:hanging="360"/>
        <w:tabs>
          <w:tab w:val="num" w:pos="87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3">
    <w:multiLevelType w:val="hybridMultilevel"/>
    <w:lvl w:ilvl="0">
      <w:start w:val="0"/>
      <w:numFmt w:val="bullet"/>
      <w:isLgl w:val="false"/>
      <w:suff w:val="tab"/>
      <w:lvlText w:val="-"/>
      <w:lvlJc w:val="left"/>
      <w:pPr>
        <w:ind w:left="870" w:hanging="360"/>
        <w:tabs>
          <w:tab w:val="num" w:pos="87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870" w:hanging="360"/>
        <w:tabs>
          <w:tab w:val="num" w:pos="87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  <w:tabs>
          <w:tab w:val="num" w:pos="108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V"/>
      <w:lvlJc w:val="left"/>
      <w:pPr>
        <w:ind w:left="720" w:hanging="360"/>
      </w:pPr>
      <w:rPr>
        <w:rFonts w:ascii="Times New Roman" w:hAnsi="Times New Roman" w:cs="Times New Roman"/>
        <w:color w:val="00000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  <w:tabs>
          <w:tab w:val="num" w:pos="108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01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221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941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661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381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101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821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541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261" w:hanging="180"/>
      </w:pPr>
    </w:lvl>
  </w:abstractNum>
  <w:abstractNum w:abstractNumId="9">
    <w:multiLevelType w:val="hybridMultilevel"/>
    <w:lvl w:ilvl="0">
      <w:start w:val="5"/>
      <w:numFmt w:val="decimal"/>
      <w:isLgl w:val="false"/>
      <w:suff w:val="tab"/>
      <w:lvlText w:val="%1."/>
      <w:lvlJc w:val="left"/>
      <w:pPr>
        <w:ind w:left="1140" w:hanging="360"/>
        <w:tabs>
          <w:tab w:val="num" w:pos="114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1170" w:hanging="390"/>
        <w:tabs>
          <w:tab w:val="num" w:pos="117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500" w:hanging="720"/>
        <w:tabs>
          <w:tab w:val="num" w:pos="150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500" w:hanging="720"/>
        <w:tabs>
          <w:tab w:val="num" w:pos="150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860" w:hanging="1080"/>
        <w:tabs>
          <w:tab w:val="num" w:pos="186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860" w:hanging="1080"/>
        <w:tabs>
          <w:tab w:val="num" w:pos="186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2220" w:hanging="1440"/>
        <w:tabs>
          <w:tab w:val="num" w:pos="222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2220" w:hanging="1440"/>
        <w:tabs>
          <w:tab w:val="num" w:pos="222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580" w:hanging="1800"/>
        <w:tabs>
          <w:tab w:val="num" w:pos="2580" w:leader="none"/>
        </w:tabs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  <w:tabs>
          <w:tab w:val="num" w:pos="108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20" w:hanging="420"/>
        <w:tabs>
          <w:tab w:val="num" w:pos="4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1129" w:hanging="420"/>
        <w:tabs>
          <w:tab w:val="num" w:pos="1129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2138" w:hanging="720"/>
        <w:tabs>
          <w:tab w:val="num" w:pos="2138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847" w:hanging="720"/>
        <w:tabs>
          <w:tab w:val="num" w:pos="2847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3916" w:hanging="1080"/>
        <w:tabs>
          <w:tab w:val="num" w:pos="3916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4625" w:hanging="1080"/>
        <w:tabs>
          <w:tab w:val="num" w:pos="4625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5694" w:hanging="1440"/>
        <w:tabs>
          <w:tab w:val="num" w:pos="5694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6403" w:hanging="1440"/>
        <w:tabs>
          <w:tab w:val="num" w:pos="6403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7472" w:hanging="1800"/>
        <w:tabs>
          <w:tab w:val="num" w:pos="7472" w:leader="none"/>
        </w:tabs>
      </w:pPr>
    </w:lvl>
  </w:abstractNum>
  <w:abstractNum w:abstractNumId="12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1440" w:hanging="360"/>
        <w:tabs>
          <w:tab w:val="num" w:pos="144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3">
    <w:multiLevelType w:val="hybridMultilevel"/>
    <w:lvl w:ilvl="0">
      <w:start w:val="0"/>
      <w:numFmt w:val="bullet"/>
      <w:isLgl w:val="false"/>
      <w:suff w:val="tab"/>
      <w:lvlText w:val="-"/>
      <w:lvlJc w:val="left"/>
      <w:pPr>
        <w:ind w:left="870" w:hanging="360"/>
        <w:tabs>
          <w:tab w:val="num" w:pos="87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5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  <w:tabs>
          <w:tab w:val="num" w:pos="108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7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1140" w:hanging="360"/>
        <w:tabs>
          <w:tab w:val="num" w:pos="114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1170" w:hanging="390"/>
        <w:tabs>
          <w:tab w:val="num" w:pos="117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500" w:hanging="720"/>
        <w:tabs>
          <w:tab w:val="num" w:pos="150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500" w:hanging="720"/>
        <w:tabs>
          <w:tab w:val="num" w:pos="150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860" w:hanging="1080"/>
        <w:tabs>
          <w:tab w:val="num" w:pos="186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860" w:hanging="1080"/>
        <w:tabs>
          <w:tab w:val="num" w:pos="186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2220" w:hanging="1440"/>
        <w:tabs>
          <w:tab w:val="num" w:pos="222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2220" w:hanging="1440"/>
        <w:tabs>
          <w:tab w:val="num" w:pos="222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580" w:hanging="1800"/>
        <w:tabs>
          <w:tab w:val="num" w:pos="2580" w:leader="none"/>
        </w:tabs>
      </w:pPr>
    </w:lvl>
  </w:abstractNum>
  <w:abstractNum w:abstractNumId="18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870" w:hanging="360"/>
        <w:tabs>
          <w:tab w:val="num" w:pos="87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590" w:hanging="360"/>
        <w:tabs>
          <w:tab w:val="num" w:pos="159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310" w:hanging="180"/>
        <w:tabs>
          <w:tab w:val="num" w:pos="231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030" w:hanging="360"/>
        <w:tabs>
          <w:tab w:val="num" w:pos="303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750" w:hanging="360"/>
        <w:tabs>
          <w:tab w:val="num" w:pos="375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470" w:hanging="180"/>
        <w:tabs>
          <w:tab w:val="num" w:pos="447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190" w:hanging="360"/>
        <w:tabs>
          <w:tab w:val="num" w:pos="519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910" w:hanging="360"/>
        <w:tabs>
          <w:tab w:val="num" w:pos="591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630" w:hanging="180"/>
        <w:tabs>
          <w:tab w:val="num" w:pos="6630" w:leader="none"/>
        </w:tabs>
      </w:pPr>
    </w:lvl>
  </w:abstractNum>
  <w:abstractNum w:abstractNumId="19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870" w:hanging="360"/>
        <w:tabs>
          <w:tab w:val="num" w:pos="87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590" w:hanging="360"/>
        <w:tabs>
          <w:tab w:val="num" w:pos="159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310" w:hanging="180"/>
        <w:tabs>
          <w:tab w:val="num" w:pos="231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030" w:hanging="360"/>
        <w:tabs>
          <w:tab w:val="num" w:pos="303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750" w:hanging="360"/>
        <w:tabs>
          <w:tab w:val="num" w:pos="375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470" w:hanging="180"/>
        <w:tabs>
          <w:tab w:val="num" w:pos="447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190" w:hanging="360"/>
        <w:tabs>
          <w:tab w:val="num" w:pos="519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910" w:hanging="360"/>
        <w:tabs>
          <w:tab w:val="num" w:pos="591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630" w:hanging="180"/>
        <w:tabs>
          <w:tab w:val="num" w:pos="6630" w:leader="none"/>
        </w:tabs>
      </w:pPr>
    </w:lvl>
  </w:abstractNum>
  <w:num w:numId="1">
    <w:abstractNumId w:val="10"/>
  </w:num>
  <w:num w:numId="2">
    <w:abstractNumId w:val="12"/>
  </w:num>
  <w:num w:numId="3">
    <w:abstractNumId w:val="5"/>
  </w:num>
  <w:num w:numId="4">
    <w:abstractNumId w:val="7"/>
  </w:num>
  <w:num w:numId="5">
    <w:abstractNumId w:val="16"/>
  </w:num>
  <w:num w:numId="6">
    <w:abstractNumId w:val="14"/>
  </w:num>
  <w:num w:numId="7">
    <w:abstractNumId w:val="15"/>
  </w:num>
  <w:num w:numId="8">
    <w:abstractNumId w:val="0"/>
  </w:num>
  <w:num w:numId="9">
    <w:abstractNumId w:val="17"/>
  </w:num>
  <w:num w:numId="10">
    <w:abstractNumId w:val="9"/>
  </w:num>
  <w:num w:numId="11">
    <w:abstractNumId w:val="2"/>
  </w:num>
  <w:num w:numId="12">
    <w:abstractNumId w:val="4"/>
  </w:num>
  <w:num w:numId="13">
    <w:abstractNumId w:val="3"/>
  </w:num>
  <w:num w:numId="14">
    <w:abstractNumId w:val="1"/>
  </w:num>
  <w:num w:numId="15">
    <w:abstractNumId w:val="13"/>
  </w:num>
  <w:num w:numId="16">
    <w:abstractNumId w:val="18"/>
  </w:num>
  <w:num w:numId="17">
    <w:abstractNumId w:val="19"/>
  </w:num>
  <w:num w:numId="18">
    <w:abstractNumId w:val="11"/>
  </w:num>
  <w:num w:numId="19">
    <w:abstractNumId w:val="8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94">
    <w:name w:val="Heading 1"/>
    <w:basedOn w:val="872"/>
    <w:next w:val="872"/>
    <w:link w:val="69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95">
    <w:name w:val="Heading 1 Char"/>
    <w:link w:val="694"/>
    <w:uiPriority w:val="9"/>
    <w:rPr>
      <w:rFonts w:ascii="Arial" w:hAnsi="Arial" w:eastAsia="Arial" w:cs="Arial"/>
      <w:sz w:val="40"/>
      <w:szCs w:val="40"/>
    </w:rPr>
  </w:style>
  <w:style w:type="paragraph" w:styleId="696">
    <w:name w:val="Heading 2"/>
    <w:basedOn w:val="872"/>
    <w:next w:val="872"/>
    <w:link w:val="69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97">
    <w:name w:val="Heading 2 Char"/>
    <w:link w:val="696"/>
    <w:uiPriority w:val="9"/>
    <w:rPr>
      <w:rFonts w:ascii="Arial" w:hAnsi="Arial" w:eastAsia="Arial" w:cs="Arial"/>
      <w:sz w:val="34"/>
    </w:rPr>
  </w:style>
  <w:style w:type="paragraph" w:styleId="698">
    <w:name w:val="Heading 3"/>
    <w:basedOn w:val="872"/>
    <w:next w:val="872"/>
    <w:link w:val="69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99">
    <w:name w:val="Heading 3 Char"/>
    <w:link w:val="698"/>
    <w:uiPriority w:val="9"/>
    <w:rPr>
      <w:rFonts w:ascii="Arial" w:hAnsi="Arial" w:eastAsia="Arial" w:cs="Arial"/>
      <w:sz w:val="30"/>
      <w:szCs w:val="30"/>
    </w:rPr>
  </w:style>
  <w:style w:type="paragraph" w:styleId="700">
    <w:name w:val="Heading 4"/>
    <w:basedOn w:val="872"/>
    <w:next w:val="872"/>
    <w:link w:val="70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01">
    <w:name w:val="Heading 4 Char"/>
    <w:link w:val="700"/>
    <w:uiPriority w:val="9"/>
    <w:rPr>
      <w:rFonts w:ascii="Arial" w:hAnsi="Arial" w:eastAsia="Arial" w:cs="Arial"/>
      <w:b/>
      <w:bCs/>
      <w:sz w:val="26"/>
      <w:szCs w:val="26"/>
    </w:rPr>
  </w:style>
  <w:style w:type="paragraph" w:styleId="702">
    <w:name w:val="Heading 5"/>
    <w:basedOn w:val="872"/>
    <w:next w:val="872"/>
    <w:link w:val="70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03">
    <w:name w:val="Heading 5 Char"/>
    <w:link w:val="702"/>
    <w:uiPriority w:val="9"/>
    <w:rPr>
      <w:rFonts w:ascii="Arial" w:hAnsi="Arial" w:eastAsia="Arial" w:cs="Arial"/>
      <w:b/>
      <w:bCs/>
      <w:sz w:val="24"/>
      <w:szCs w:val="24"/>
    </w:rPr>
  </w:style>
  <w:style w:type="paragraph" w:styleId="704">
    <w:name w:val="Heading 6"/>
    <w:basedOn w:val="872"/>
    <w:next w:val="872"/>
    <w:link w:val="70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05">
    <w:name w:val="Heading 6 Char"/>
    <w:link w:val="704"/>
    <w:uiPriority w:val="9"/>
    <w:rPr>
      <w:rFonts w:ascii="Arial" w:hAnsi="Arial" w:eastAsia="Arial" w:cs="Arial"/>
      <w:b/>
      <w:bCs/>
      <w:sz w:val="22"/>
      <w:szCs w:val="22"/>
    </w:rPr>
  </w:style>
  <w:style w:type="paragraph" w:styleId="706">
    <w:name w:val="Heading 7"/>
    <w:basedOn w:val="872"/>
    <w:next w:val="872"/>
    <w:link w:val="70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07">
    <w:name w:val="Heading 7 Char"/>
    <w:link w:val="70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08">
    <w:name w:val="Heading 8"/>
    <w:basedOn w:val="872"/>
    <w:next w:val="872"/>
    <w:link w:val="70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09">
    <w:name w:val="Heading 8 Char"/>
    <w:link w:val="708"/>
    <w:uiPriority w:val="9"/>
    <w:rPr>
      <w:rFonts w:ascii="Arial" w:hAnsi="Arial" w:eastAsia="Arial" w:cs="Arial"/>
      <w:i/>
      <w:iCs/>
      <w:sz w:val="22"/>
      <w:szCs w:val="22"/>
    </w:rPr>
  </w:style>
  <w:style w:type="paragraph" w:styleId="710">
    <w:name w:val="Heading 9"/>
    <w:basedOn w:val="872"/>
    <w:next w:val="872"/>
    <w:link w:val="71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11">
    <w:name w:val="Heading 9 Char"/>
    <w:link w:val="710"/>
    <w:uiPriority w:val="9"/>
    <w:rPr>
      <w:rFonts w:ascii="Arial" w:hAnsi="Arial" w:eastAsia="Arial" w:cs="Arial"/>
      <w:i/>
      <w:iCs/>
      <w:sz w:val="21"/>
      <w:szCs w:val="21"/>
    </w:rPr>
  </w:style>
  <w:style w:type="paragraph" w:styleId="712">
    <w:name w:val="List Paragraph"/>
    <w:basedOn w:val="872"/>
    <w:uiPriority w:val="34"/>
    <w:qFormat/>
    <w:pPr>
      <w:contextualSpacing/>
      <w:ind w:left="720"/>
    </w:pPr>
  </w:style>
  <w:style w:type="paragraph" w:styleId="713">
    <w:name w:val="No Spacing"/>
    <w:uiPriority w:val="1"/>
    <w:qFormat/>
    <w:pPr>
      <w:spacing w:before="0" w:after="0" w:line="240" w:lineRule="auto"/>
    </w:pPr>
  </w:style>
  <w:style w:type="paragraph" w:styleId="714">
    <w:name w:val="Title"/>
    <w:basedOn w:val="872"/>
    <w:next w:val="872"/>
    <w:link w:val="71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15">
    <w:name w:val="Title Char"/>
    <w:link w:val="714"/>
    <w:uiPriority w:val="10"/>
    <w:rPr>
      <w:sz w:val="48"/>
      <w:szCs w:val="48"/>
    </w:rPr>
  </w:style>
  <w:style w:type="paragraph" w:styleId="716">
    <w:name w:val="Subtitle"/>
    <w:basedOn w:val="872"/>
    <w:next w:val="872"/>
    <w:link w:val="717"/>
    <w:uiPriority w:val="11"/>
    <w:qFormat/>
    <w:pPr>
      <w:spacing w:before="200" w:after="200"/>
    </w:pPr>
    <w:rPr>
      <w:sz w:val="24"/>
      <w:szCs w:val="24"/>
    </w:rPr>
  </w:style>
  <w:style w:type="character" w:styleId="717">
    <w:name w:val="Subtitle Char"/>
    <w:link w:val="716"/>
    <w:uiPriority w:val="11"/>
    <w:rPr>
      <w:sz w:val="24"/>
      <w:szCs w:val="24"/>
    </w:rPr>
  </w:style>
  <w:style w:type="paragraph" w:styleId="718">
    <w:name w:val="Quote"/>
    <w:basedOn w:val="872"/>
    <w:next w:val="872"/>
    <w:link w:val="719"/>
    <w:uiPriority w:val="29"/>
    <w:qFormat/>
    <w:pPr>
      <w:ind w:left="720" w:right="720"/>
    </w:pPr>
    <w:rPr>
      <w:i/>
    </w:rPr>
  </w:style>
  <w:style w:type="character" w:styleId="719">
    <w:name w:val="Quote Char"/>
    <w:link w:val="718"/>
    <w:uiPriority w:val="29"/>
    <w:rPr>
      <w:i/>
    </w:rPr>
  </w:style>
  <w:style w:type="paragraph" w:styleId="720">
    <w:name w:val="Intense Quote"/>
    <w:basedOn w:val="872"/>
    <w:next w:val="872"/>
    <w:link w:val="72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21">
    <w:name w:val="Intense Quote Char"/>
    <w:link w:val="720"/>
    <w:uiPriority w:val="30"/>
    <w:rPr>
      <w:i/>
    </w:rPr>
  </w:style>
  <w:style w:type="paragraph" w:styleId="722">
    <w:name w:val="Header"/>
    <w:basedOn w:val="872"/>
    <w:link w:val="72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23">
    <w:name w:val="Header Char"/>
    <w:link w:val="722"/>
    <w:uiPriority w:val="99"/>
  </w:style>
  <w:style w:type="paragraph" w:styleId="724">
    <w:name w:val="Footer"/>
    <w:basedOn w:val="872"/>
    <w:link w:val="72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25">
    <w:name w:val="Footer Char"/>
    <w:link w:val="724"/>
    <w:uiPriority w:val="99"/>
  </w:style>
  <w:style w:type="paragraph" w:styleId="726">
    <w:name w:val="Caption"/>
    <w:basedOn w:val="872"/>
    <w:next w:val="872"/>
    <w:link w:val="72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27">
    <w:name w:val="Caption Char"/>
    <w:link w:val="726"/>
    <w:uiPriority w:val="35"/>
    <w:rPr>
      <w:b/>
      <w:bCs/>
      <w:color w:val="4f81bd" w:themeColor="accent1"/>
      <w:sz w:val="18"/>
      <w:szCs w:val="18"/>
    </w:rPr>
  </w:style>
  <w:style w:type="table" w:styleId="728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9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0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1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2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33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4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35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6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7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8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9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0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1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2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57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58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59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60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61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62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63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64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65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66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67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68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69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70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71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72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73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74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75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76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77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0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1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92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93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94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95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96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97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98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3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4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5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6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7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8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9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0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1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2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3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4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5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6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7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8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9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20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21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22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23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24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25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26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27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28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29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30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31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32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33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34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35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36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37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38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39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40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41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42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43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44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45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46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47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48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49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50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51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52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53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54">
    <w:name w:val="Hyperlink"/>
    <w:uiPriority w:val="99"/>
    <w:unhideWhenUsed/>
    <w:rPr>
      <w:color w:val="0000ff" w:themeColor="hyperlink"/>
      <w:u w:val="single"/>
    </w:rPr>
  </w:style>
  <w:style w:type="paragraph" w:styleId="855">
    <w:name w:val="footnote text"/>
    <w:basedOn w:val="872"/>
    <w:link w:val="856"/>
    <w:uiPriority w:val="99"/>
    <w:semiHidden/>
    <w:unhideWhenUsed/>
    <w:pPr>
      <w:spacing w:after="40" w:line="240" w:lineRule="auto"/>
    </w:pPr>
    <w:rPr>
      <w:sz w:val="18"/>
    </w:rPr>
  </w:style>
  <w:style w:type="character" w:styleId="856">
    <w:name w:val="Footnote Text Char"/>
    <w:link w:val="855"/>
    <w:uiPriority w:val="99"/>
    <w:rPr>
      <w:sz w:val="18"/>
    </w:rPr>
  </w:style>
  <w:style w:type="character" w:styleId="857">
    <w:name w:val="footnote reference"/>
    <w:uiPriority w:val="99"/>
    <w:unhideWhenUsed/>
    <w:rPr>
      <w:vertAlign w:val="superscript"/>
    </w:rPr>
  </w:style>
  <w:style w:type="paragraph" w:styleId="858">
    <w:name w:val="endnote text"/>
    <w:basedOn w:val="872"/>
    <w:link w:val="859"/>
    <w:uiPriority w:val="99"/>
    <w:semiHidden/>
    <w:unhideWhenUsed/>
    <w:pPr>
      <w:spacing w:after="0" w:line="240" w:lineRule="auto"/>
    </w:pPr>
    <w:rPr>
      <w:sz w:val="20"/>
    </w:rPr>
  </w:style>
  <w:style w:type="character" w:styleId="859">
    <w:name w:val="Endnote Text Char"/>
    <w:link w:val="858"/>
    <w:uiPriority w:val="99"/>
    <w:rPr>
      <w:sz w:val="20"/>
    </w:rPr>
  </w:style>
  <w:style w:type="character" w:styleId="860">
    <w:name w:val="endnote reference"/>
    <w:uiPriority w:val="99"/>
    <w:semiHidden/>
    <w:unhideWhenUsed/>
    <w:rPr>
      <w:vertAlign w:val="superscript"/>
    </w:rPr>
  </w:style>
  <w:style w:type="paragraph" w:styleId="861">
    <w:name w:val="toc 1"/>
    <w:basedOn w:val="872"/>
    <w:next w:val="872"/>
    <w:uiPriority w:val="39"/>
    <w:unhideWhenUsed/>
    <w:pPr>
      <w:ind w:left="0" w:right="0" w:firstLine="0"/>
      <w:spacing w:after="57"/>
    </w:pPr>
  </w:style>
  <w:style w:type="paragraph" w:styleId="862">
    <w:name w:val="toc 2"/>
    <w:basedOn w:val="872"/>
    <w:next w:val="872"/>
    <w:uiPriority w:val="39"/>
    <w:unhideWhenUsed/>
    <w:pPr>
      <w:ind w:left="283" w:right="0" w:firstLine="0"/>
      <w:spacing w:after="57"/>
    </w:pPr>
  </w:style>
  <w:style w:type="paragraph" w:styleId="863">
    <w:name w:val="toc 3"/>
    <w:basedOn w:val="872"/>
    <w:next w:val="872"/>
    <w:uiPriority w:val="39"/>
    <w:unhideWhenUsed/>
    <w:pPr>
      <w:ind w:left="567" w:right="0" w:firstLine="0"/>
      <w:spacing w:after="57"/>
    </w:pPr>
  </w:style>
  <w:style w:type="paragraph" w:styleId="864">
    <w:name w:val="toc 4"/>
    <w:basedOn w:val="872"/>
    <w:next w:val="872"/>
    <w:uiPriority w:val="39"/>
    <w:unhideWhenUsed/>
    <w:pPr>
      <w:ind w:left="850" w:right="0" w:firstLine="0"/>
      <w:spacing w:after="57"/>
    </w:pPr>
  </w:style>
  <w:style w:type="paragraph" w:styleId="865">
    <w:name w:val="toc 5"/>
    <w:basedOn w:val="872"/>
    <w:next w:val="872"/>
    <w:uiPriority w:val="39"/>
    <w:unhideWhenUsed/>
    <w:pPr>
      <w:ind w:left="1134" w:right="0" w:firstLine="0"/>
      <w:spacing w:after="57"/>
    </w:pPr>
  </w:style>
  <w:style w:type="paragraph" w:styleId="866">
    <w:name w:val="toc 6"/>
    <w:basedOn w:val="872"/>
    <w:next w:val="872"/>
    <w:uiPriority w:val="39"/>
    <w:unhideWhenUsed/>
    <w:pPr>
      <w:ind w:left="1417" w:right="0" w:firstLine="0"/>
      <w:spacing w:after="57"/>
    </w:pPr>
  </w:style>
  <w:style w:type="paragraph" w:styleId="867">
    <w:name w:val="toc 7"/>
    <w:basedOn w:val="872"/>
    <w:next w:val="872"/>
    <w:uiPriority w:val="39"/>
    <w:unhideWhenUsed/>
    <w:pPr>
      <w:ind w:left="1701" w:right="0" w:firstLine="0"/>
      <w:spacing w:after="57"/>
    </w:pPr>
  </w:style>
  <w:style w:type="paragraph" w:styleId="868">
    <w:name w:val="toc 8"/>
    <w:basedOn w:val="872"/>
    <w:next w:val="872"/>
    <w:uiPriority w:val="39"/>
    <w:unhideWhenUsed/>
    <w:pPr>
      <w:ind w:left="1984" w:right="0" w:firstLine="0"/>
      <w:spacing w:after="57"/>
    </w:pPr>
  </w:style>
  <w:style w:type="paragraph" w:styleId="869">
    <w:name w:val="toc 9"/>
    <w:basedOn w:val="872"/>
    <w:next w:val="872"/>
    <w:uiPriority w:val="39"/>
    <w:unhideWhenUsed/>
    <w:pPr>
      <w:ind w:left="2268" w:right="0" w:firstLine="0"/>
      <w:spacing w:after="57"/>
    </w:pPr>
  </w:style>
  <w:style w:type="paragraph" w:styleId="870">
    <w:name w:val="TOC Heading"/>
    <w:uiPriority w:val="39"/>
    <w:unhideWhenUsed/>
  </w:style>
  <w:style w:type="paragraph" w:styleId="871">
    <w:name w:val="table of figures"/>
    <w:basedOn w:val="872"/>
    <w:next w:val="872"/>
    <w:uiPriority w:val="99"/>
    <w:unhideWhenUsed/>
    <w:pPr>
      <w:spacing w:after="0" w:afterAutospacing="0"/>
    </w:pPr>
  </w:style>
  <w:style w:type="paragraph" w:styleId="872" w:default="1">
    <w:name w:val="Normal"/>
    <w:next w:val="872"/>
    <w:link w:val="872"/>
    <w:qFormat/>
    <w:rPr>
      <w:sz w:val="22"/>
      <w:lang w:val="ru-RU" w:eastAsia="ru-RU" w:bidi="ar-SA"/>
    </w:rPr>
  </w:style>
  <w:style w:type="paragraph" w:styleId="873">
    <w:name w:val="Заголовок 1"/>
    <w:basedOn w:val="872"/>
    <w:next w:val="872"/>
    <w:link w:val="872"/>
    <w:qFormat/>
    <w:pPr>
      <w:jc w:val="center"/>
      <w:keepNext/>
      <w:outlineLvl w:val="0"/>
    </w:pPr>
    <w:rPr>
      <w:b/>
      <w:sz w:val="24"/>
    </w:rPr>
  </w:style>
  <w:style w:type="paragraph" w:styleId="874">
    <w:name w:val="Заголовок 2"/>
    <w:basedOn w:val="872"/>
    <w:next w:val="872"/>
    <w:link w:val="872"/>
    <w:qFormat/>
    <w:pPr>
      <w:jc w:val="center"/>
      <w:keepNext/>
      <w:outlineLvl w:val="1"/>
    </w:pPr>
    <w:rPr>
      <w:b/>
      <w:sz w:val="28"/>
    </w:rPr>
  </w:style>
  <w:style w:type="paragraph" w:styleId="875">
    <w:name w:val="Заголовок 3"/>
    <w:basedOn w:val="872"/>
    <w:next w:val="872"/>
    <w:link w:val="872"/>
    <w:qFormat/>
    <w:pPr>
      <w:ind w:left="720"/>
      <w:keepNext/>
      <w:outlineLvl w:val="2"/>
    </w:pPr>
    <w:rPr>
      <w:b/>
      <w:sz w:val="24"/>
    </w:rPr>
  </w:style>
  <w:style w:type="paragraph" w:styleId="876">
    <w:name w:val="Заголовок 6"/>
    <w:basedOn w:val="872"/>
    <w:next w:val="872"/>
    <w:link w:val="872"/>
    <w:qFormat/>
    <w:pPr>
      <w:spacing w:before="240" w:after="60"/>
      <w:outlineLvl w:val="5"/>
    </w:pPr>
    <w:rPr>
      <w:b/>
      <w:bCs/>
      <w:szCs w:val="22"/>
    </w:rPr>
  </w:style>
  <w:style w:type="paragraph" w:styleId="877">
    <w:name w:val="Заголовок 7"/>
    <w:basedOn w:val="872"/>
    <w:next w:val="872"/>
    <w:link w:val="872"/>
    <w:qFormat/>
    <w:pPr>
      <w:spacing w:before="240" w:after="60"/>
      <w:outlineLvl w:val="6"/>
    </w:pPr>
    <w:rPr>
      <w:sz w:val="24"/>
      <w:szCs w:val="24"/>
    </w:rPr>
  </w:style>
  <w:style w:type="character" w:styleId="878">
    <w:name w:val="Основной шрифт абзаца"/>
    <w:next w:val="878"/>
    <w:link w:val="872"/>
    <w:semiHidden/>
  </w:style>
  <w:style w:type="table" w:styleId="879">
    <w:name w:val="Обычная таблица"/>
    <w:next w:val="879"/>
    <w:link w:val="872"/>
    <w:semiHidden/>
    <w:tblPr/>
  </w:style>
  <w:style w:type="numbering" w:styleId="880">
    <w:name w:val="Нет списка"/>
    <w:next w:val="880"/>
    <w:link w:val="872"/>
    <w:semiHidden/>
  </w:style>
  <w:style w:type="paragraph" w:styleId="881">
    <w:name w:val="Основной текст"/>
    <w:basedOn w:val="872"/>
    <w:next w:val="881"/>
    <w:link w:val="872"/>
    <w:pPr>
      <w:jc w:val="both"/>
    </w:pPr>
  </w:style>
  <w:style w:type="paragraph" w:styleId="882">
    <w:name w:val="Текст выноски"/>
    <w:basedOn w:val="872"/>
    <w:next w:val="882"/>
    <w:link w:val="872"/>
    <w:semiHidden/>
    <w:rPr>
      <w:rFonts w:ascii="Tahoma" w:hAnsi="Tahoma" w:cs="Tahoma"/>
      <w:sz w:val="16"/>
      <w:szCs w:val="16"/>
    </w:rPr>
  </w:style>
  <w:style w:type="table" w:styleId="883">
    <w:name w:val="Сетка таблицы"/>
    <w:basedOn w:val="879"/>
    <w:next w:val="883"/>
    <w:link w:val="872"/>
    <w:tblPr/>
  </w:style>
  <w:style w:type="paragraph" w:styleId="884">
    <w:name w:val="ConsPlusNonformat"/>
    <w:next w:val="884"/>
    <w:link w:val="872"/>
    <w:pPr>
      <w:widowControl w:val="off"/>
    </w:pPr>
    <w:rPr>
      <w:rFonts w:ascii="Courier New" w:hAnsi="Courier New" w:eastAsia="Arial" w:cs="Courier New"/>
      <w:lang w:val="ru-RU" w:eastAsia="ar-SA" w:bidi="ar-SA"/>
    </w:rPr>
  </w:style>
  <w:style w:type="paragraph" w:styleId="885">
    <w:name w:val="Основной текст 2"/>
    <w:basedOn w:val="872"/>
    <w:next w:val="885"/>
    <w:link w:val="872"/>
    <w:pPr>
      <w:spacing w:after="120" w:line="480" w:lineRule="auto"/>
    </w:pPr>
  </w:style>
  <w:style w:type="paragraph" w:styleId="886">
    <w:name w:val="ConsPlusNormal"/>
    <w:next w:val="886"/>
    <w:link w:val="872"/>
    <w:pPr>
      <w:ind w:firstLine="720"/>
      <w:widowControl w:val="off"/>
    </w:pPr>
    <w:rPr>
      <w:rFonts w:ascii="Arial" w:hAnsi="Arial" w:cs="Arial"/>
      <w:lang w:val="ru-RU" w:eastAsia="ru-RU" w:bidi="ar-SA"/>
    </w:rPr>
  </w:style>
  <w:style w:type="paragraph" w:styleId="887">
    <w:name w:val="Обычный (веб)"/>
    <w:basedOn w:val="872"/>
    <w:next w:val="887"/>
    <w:link w:val="872"/>
    <w:pPr>
      <w:spacing w:after="144"/>
    </w:pPr>
    <w:rPr>
      <w:rFonts w:eastAsia="Calibri"/>
      <w:sz w:val="24"/>
      <w:szCs w:val="24"/>
    </w:rPr>
  </w:style>
  <w:style w:type="character" w:styleId="888">
    <w:name w:val="Гиперссылка"/>
    <w:basedOn w:val="878"/>
    <w:next w:val="888"/>
    <w:link w:val="872"/>
    <w:rPr>
      <w:color w:val="0000ff"/>
      <w:u w:val="single"/>
    </w:rPr>
  </w:style>
  <w:style w:type="paragraph" w:styleId="889">
    <w:name w:val="Основной текст с отступом"/>
    <w:basedOn w:val="872"/>
    <w:next w:val="889"/>
    <w:link w:val="872"/>
    <w:pPr>
      <w:ind w:left="283"/>
      <w:spacing w:after="120"/>
    </w:pPr>
  </w:style>
  <w:style w:type="character" w:styleId="890" w:default="1">
    <w:name w:val="Default Paragraph Font"/>
    <w:uiPriority w:val="1"/>
    <w:semiHidden/>
    <w:unhideWhenUsed/>
  </w:style>
  <w:style w:type="numbering" w:styleId="891" w:default="1">
    <w:name w:val="No List"/>
    <w:uiPriority w:val="99"/>
    <w:semiHidden/>
    <w:unhideWhenUsed/>
  </w:style>
  <w:style w:type="table" w:styleId="892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Home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 Федерация</dc:title>
  <dc:creator>Юрий</dc:creator>
  <cp:revision>16</cp:revision>
  <dcterms:created xsi:type="dcterms:W3CDTF">2023-10-03T05:31:00Z</dcterms:created>
  <dcterms:modified xsi:type="dcterms:W3CDTF">2025-05-26T03:57:28Z</dcterms:modified>
  <cp:version>786432</cp:version>
</cp:coreProperties>
</file>