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86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Российская Федерация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86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Иркутская область 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8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Муниципальное образование «Тайшетский район»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86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Тайшетское муниципальное образование </w:t>
      </w:r>
      <w:r>
        <w:rPr>
          <w:b/>
          <w:bCs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«Тайшетское городское поселение»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8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ТАЙШЕТСКОГО ГОРОДСКОГО ПОСЕЛЕНИЯ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87"/>
        <w:rPr>
          <w:sz w:val="28"/>
          <w:szCs w:val="28"/>
        </w:rPr>
      </w:pPr>
      <w:r>
        <w:rPr>
          <w:sz w:val="28"/>
          <w:szCs w:val="28"/>
        </w:rPr>
        <w:t xml:space="preserve">П О С Т А Н О В Л Е Н И 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6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86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26.05.20</w:t>
      </w:r>
      <w:r>
        <w:rPr>
          <w:b w:val="0"/>
          <w:bCs w:val="0"/>
          <w:sz w:val="24"/>
          <w:szCs w:val="24"/>
        </w:rPr>
        <w:t xml:space="preserve">25</w:t>
      </w:r>
      <w:r>
        <w:rPr>
          <w:b w:val="0"/>
          <w:bCs w:val="0"/>
          <w:sz w:val="24"/>
          <w:szCs w:val="24"/>
        </w:rPr>
        <w:t xml:space="preserve">г. </w:t>
        <w:tab/>
        <w:tab/>
        <w:tab/>
        <w:tab/>
        <w:t xml:space="preserve">г.Тайшет</w:t>
        <w:tab/>
        <w:tab/>
        <w:tab/>
        <w:tab/>
        <w:tab/>
      </w:r>
      <w:r>
        <w:rPr>
          <w:b w:val="0"/>
          <w:bCs w:val="0"/>
          <w:sz w:val="24"/>
          <w:szCs w:val="24"/>
        </w:rPr>
        <w:t xml:space="preserve">№426</w:t>
      </w:r>
      <w:r>
        <w:rPr>
          <w:b w:val="0"/>
          <w:bCs w:val="0"/>
          <w:sz w:val="24"/>
          <w:szCs w:val="24"/>
        </w:rPr>
      </w:r>
    </w:p>
    <w:p>
      <w:pPr>
        <w:pStyle w:val="886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86"/>
        <w:ind w:right="4989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О внесении  изменений в </w:t>
      </w:r>
      <w:r>
        <w:rPr>
          <w:b w:val="0"/>
          <w:bCs w:val="0"/>
          <w:sz w:val="24"/>
          <w:szCs w:val="24"/>
        </w:rPr>
        <w:t xml:space="preserve">К</w:t>
      </w:r>
      <w:r>
        <w:rPr>
          <w:b w:val="0"/>
          <w:bCs w:val="0"/>
          <w:sz w:val="24"/>
          <w:szCs w:val="24"/>
        </w:rPr>
        <w:t xml:space="preserve">онцессионное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соглашение от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13 декабря </w:t>
      </w:r>
      <w:r>
        <w:rPr>
          <w:b w:val="0"/>
          <w:bCs w:val="0"/>
          <w:sz w:val="24"/>
          <w:szCs w:val="24"/>
        </w:rPr>
        <w:t xml:space="preserve">201</w:t>
      </w:r>
      <w:r>
        <w:rPr>
          <w:b w:val="0"/>
          <w:bCs w:val="0"/>
          <w:sz w:val="24"/>
          <w:szCs w:val="24"/>
        </w:rPr>
        <w:t xml:space="preserve">3</w:t>
      </w:r>
      <w:r>
        <w:rPr>
          <w:b w:val="0"/>
          <w:bCs w:val="0"/>
          <w:sz w:val="24"/>
          <w:szCs w:val="24"/>
        </w:rPr>
        <w:t xml:space="preserve">года №</w:t>
      </w:r>
      <w:r>
        <w:rPr>
          <w:b w:val="0"/>
          <w:bCs w:val="0"/>
          <w:sz w:val="24"/>
          <w:szCs w:val="24"/>
        </w:rPr>
        <w:t xml:space="preserve">803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86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00"/>
        <w:ind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На основании письма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 письма АО «Байкалэнерго» от 16 мая 2025года,  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уководствуясь Федеральным законом от 21 июля 2005 №115-ФЗ «О концессионных соглашениях»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в соответствии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со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статьями 6, 23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46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Устава Тайшетского муниципального образования «Тайшетское городское поселение»,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Положением «Об администрации Тайшетского городского поселения», утвержденным решением Думы Тайшетского городского поселения  от 30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августа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2018 года №63, Положением «О порядке управления и распоряжения муниципальным имуществом Тайшетского муниципального образования «Тайшетское городское поселение», утвержденным решением Думы Тайшетского городского поселения от 27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января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2006 г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ода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№34,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Концессионным соглашением № 803 от 13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декабря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2013г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ода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администрация Тайшетского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900"/>
        <w:ind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86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  <w:t xml:space="preserve">П О С Т А Н О В Л Я ЕТ: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  <w:highlight w:val="none"/>
        </w:rPr>
      </w:r>
    </w:p>
    <w:p>
      <w:pPr>
        <w:rPr>
          <w:sz w:val="24"/>
          <w:szCs w:val="24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86"/>
        <w:ind w:firstLine="720"/>
        <w:jc w:val="both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1. Внести </w:t>
      </w:r>
      <w:r>
        <w:rPr>
          <w:sz w:val="24"/>
          <w:szCs w:val="24"/>
        </w:rPr>
        <w:t xml:space="preserve">следующие </w:t>
      </w:r>
      <w:r>
        <w:rPr>
          <w:sz w:val="24"/>
          <w:szCs w:val="24"/>
        </w:rPr>
        <w:t xml:space="preserve">изменения </w:t>
      </w:r>
      <w:r>
        <w:rPr>
          <w:sz w:val="24"/>
          <w:szCs w:val="24"/>
        </w:rPr>
        <w:t xml:space="preserve">в </w:t>
      </w:r>
      <w:r>
        <w:rPr>
          <w:sz w:val="24"/>
          <w:szCs w:val="24"/>
        </w:rPr>
        <w:t xml:space="preserve">К</w:t>
      </w:r>
      <w:r>
        <w:rPr>
          <w:sz w:val="24"/>
          <w:szCs w:val="24"/>
        </w:rPr>
        <w:t xml:space="preserve">онцессионное соглашение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от 13 </w:t>
      </w:r>
      <w:r>
        <w:rPr>
          <w:rFonts w:ascii="Times New Roman" w:hAnsi="Times New Roman" w:cs="Times New Roman"/>
          <w:sz w:val="24"/>
          <w:szCs w:val="24"/>
        </w:rPr>
        <w:t xml:space="preserve">декабря </w:t>
      </w:r>
      <w:r>
        <w:rPr>
          <w:rFonts w:ascii="Times New Roman" w:hAnsi="Times New Roman" w:cs="Times New Roman"/>
          <w:sz w:val="24"/>
          <w:szCs w:val="24"/>
        </w:rPr>
        <w:t xml:space="preserve">2013 г</w:t>
      </w:r>
      <w:r>
        <w:rPr>
          <w:rFonts w:ascii="Times New Roman" w:hAnsi="Times New Roman" w:cs="Times New Roman"/>
          <w:sz w:val="24"/>
          <w:szCs w:val="24"/>
        </w:rPr>
        <w:t xml:space="preserve">ода</w:t>
      </w:r>
      <w:r>
        <w:rPr>
          <w:sz w:val="24"/>
          <w:szCs w:val="24"/>
        </w:rPr>
        <w:t xml:space="preserve"> №803 </w:t>
      </w:r>
      <w:r>
        <w:rPr>
          <w:sz w:val="24"/>
          <w:szCs w:val="24"/>
        </w:rPr>
        <w:t xml:space="preserve">«</w:t>
      </w:r>
      <w:r>
        <w:rPr>
          <w:sz w:val="24"/>
          <w:szCs w:val="24"/>
        </w:rPr>
        <w:t xml:space="preserve">в целях реконструкции (модернизации) муниципального имущества Тайшетского муниципального образования «Тайшетское городское поселение» – объектов коммунальной инфраструктуры теплоснабжения, расположенных на территории Тайшетского городского поселения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  <w:t xml:space="preserve">: 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86"/>
        <w:ind w:left="0" w:right="0" w:firstLine="720"/>
        <w:jc w:val="both"/>
        <w:rPr>
          <w:bCs/>
          <w:sz w:val="22"/>
          <w:szCs w:val="22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1.1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В приложени</w:t>
      </w:r>
      <w:r>
        <w:rPr>
          <w:sz w:val="24"/>
          <w:szCs w:val="24"/>
        </w:rPr>
        <w:t xml:space="preserve">я</w:t>
      </w:r>
      <w:r>
        <w:rPr>
          <w:sz w:val="24"/>
          <w:szCs w:val="24"/>
        </w:rPr>
        <w:t xml:space="preserve"> №1 и №2 </w:t>
      </w:r>
      <w:r>
        <w:rPr>
          <w:bCs/>
          <w:sz w:val="24"/>
          <w:szCs w:val="24"/>
        </w:rPr>
        <w:t xml:space="preserve">к Концессионному соглашению</w:t>
      </w:r>
      <w:r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р</w:t>
      </w:r>
      <w:r>
        <w:rPr>
          <w:bCs/>
          <w:sz w:val="24"/>
          <w:szCs w:val="24"/>
        </w:rPr>
        <w:t xml:space="preserve">аздела 4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«</w:t>
      </w:r>
      <w:r>
        <w:rPr>
          <w:sz w:val="24"/>
          <w:szCs w:val="24"/>
        </w:rPr>
        <w:t xml:space="preserve">Здания, сооружения, тепловые сети, движимое имущество котельной №2 (ШПЗ), </w:t>
      </w:r>
      <w:r>
        <w:rPr>
          <w:sz w:val="24"/>
          <w:szCs w:val="24"/>
        </w:rPr>
        <w:t xml:space="preserve">расположенной по адресу: Иркутская область, г.Тайшет, ул. </w:t>
      </w:r>
      <w:r>
        <w:rPr>
          <w:sz w:val="24"/>
          <w:szCs w:val="24"/>
        </w:rPr>
        <w:t xml:space="preserve">Гагарина, 114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внести следующие изменения:</w: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</w:r>
    </w:p>
    <w:p>
      <w:pPr>
        <w:pStyle w:val="886"/>
        <w:ind w:left="0" w:right="0" w:firstLine="720"/>
        <w:jc w:val="both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пункты 14 и 18  </w:t>
      </w:r>
      <w:r>
        <w:rPr>
          <w:bCs/>
          <w:sz w:val="24"/>
          <w:szCs w:val="24"/>
        </w:rPr>
        <w:t xml:space="preserve">исключить;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tbl>
      <w:tblPr>
        <w:tblW w:w="9354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09"/>
        <w:gridCol w:w="1872"/>
        <w:gridCol w:w="992"/>
        <w:gridCol w:w="992"/>
        <w:gridCol w:w="1275"/>
        <w:gridCol w:w="1276"/>
        <w:gridCol w:w="1134"/>
        <w:gridCol w:w="1105"/>
      </w:tblGrid>
      <w:tr>
        <w:tblPrEx/>
        <w:trPr/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№ п/п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87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color w:val="ff0000"/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Наименование имущества</w:t>
            </w:r>
            <w:r>
              <w:rPr>
                <w:color w:val="ff0000"/>
                <w:sz w:val="24"/>
                <w:szCs w:val="24"/>
              </w:rPr>
            </w:r>
            <w:r>
              <w:rPr>
                <w:color w:val="ff0000"/>
                <w:sz w:val="24"/>
                <w:szCs w:val="24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Инв. номер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Год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t xml:space="preserve">ввода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t xml:space="preserve">в экспл.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275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Площадь,</w:t>
            </w:r>
            <w:r>
              <w:rPr>
                <w:sz w:val="24"/>
                <w:szCs w:val="24"/>
              </w:rPr>
              <w:t xml:space="preserve"> кв.м.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t xml:space="preserve">/протяженность, м</w:t>
            </w:r>
            <w:r>
              <w:rPr>
                <w:sz w:val="24"/>
                <w:szCs w:val="24"/>
              </w:rPr>
              <w:t xml:space="preserve">, кол-во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Балансо-вая стои-мость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t xml:space="preserve">(руб.)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134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Остаточ-ная стоимость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t xml:space="preserve">(руб.)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105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Техническое состояние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tbl>
      <w:tblPr>
        <w:tblW w:w="9354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09"/>
        <w:gridCol w:w="1872"/>
        <w:gridCol w:w="992"/>
        <w:gridCol w:w="992"/>
        <w:gridCol w:w="1275"/>
        <w:gridCol w:w="1276"/>
        <w:gridCol w:w="1134"/>
        <w:gridCol w:w="1105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113" w:firstLine="0"/>
              <w:jc w:val="center"/>
              <w:tabs>
                <w:tab w:val="num" w:pos="360" w:leader="none"/>
                <w:tab w:val="num" w:pos="785" w:leader="none"/>
              </w:tabs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14.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  <w:highlight w:val="white"/>
              </w:rPr>
              <w:suppressLineNumbers w:val="0"/>
            </w:pPr>
            <w:r>
              <w:rPr>
                <w:sz w:val="24"/>
                <w:szCs w:val="24"/>
                <w:highlight w:val="white"/>
              </w:rPr>
              <w:t xml:space="preserve">Подогреватель сетевой воды ПСВ 75-7-15 ст. №1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238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2001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100000,00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color w:val="000000"/>
                <w:sz w:val="24"/>
                <w:szCs w:val="24"/>
              </w:rPr>
              <w:suppressLineNumbers w:val="0"/>
            </w:pPr>
            <w:r>
              <w:rPr>
                <w:color w:val="000000"/>
                <w:sz w:val="24"/>
                <w:szCs w:val="24"/>
              </w:rPr>
              <w:t xml:space="preserve">99999,99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5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удовлетвори-тельное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113" w:firstLine="0"/>
              <w:jc w:val="center"/>
              <w:tabs>
                <w:tab w:val="num" w:pos="360" w:leader="none"/>
                <w:tab w:val="num" w:pos="785" w:leader="none"/>
              </w:tabs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18.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  <w:highlight w:val="white"/>
              </w:rPr>
              <w:suppressLineNumbers w:val="0"/>
            </w:pPr>
            <w:r>
              <w:rPr>
                <w:sz w:val="24"/>
                <w:szCs w:val="24"/>
                <w:highlight w:val="white"/>
              </w:rPr>
              <w:t xml:space="preserve">Подогреватель сетевой воды ПСВ 75-7-15 ст. №2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242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2004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194000,00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color w:val="000000"/>
                <w:sz w:val="24"/>
                <w:szCs w:val="24"/>
              </w:rPr>
              <w:suppressLineNumbers w:val="0"/>
            </w:pPr>
            <w:r>
              <w:rPr>
                <w:color w:val="000000"/>
                <w:sz w:val="24"/>
                <w:szCs w:val="24"/>
              </w:rPr>
              <w:t xml:space="preserve">0,00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5" w:type="dxa"/>
            <w:vAlign w:val="top"/>
            <w:textDirection w:val="lrTb"/>
            <w:noWrap w:val="false"/>
          </w:tcPr>
          <w:p>
            <w:pPr>
              <w:pStyle w:val="886"/>
              <w:ind w:left="-57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удовлетвори-тельное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ind w:left="0" w:right="0" w:firstLine="0"/>
        <w:jc w:val="both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0" w:right="0" w:firstLine="720"/>
        <w:jc w:val="both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строку «Итого» </w:t>
      </w:r>
      <w:r>
        <w:rPr>
          <w:sz w:val="24"/>
          <w:szCs w:val="24"/>
        </w:rPr>
        <w:t xml:space="preserve"> изложить в следующей редакц</w:t>
      </w:r>
      <w:r>
        <w:rPr>
          <w:sz w:val="24"/>
          <w:szCs w:val="24"/>
        </w:rPr>
        <w:t xml:space="preserve">ии: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tbl>
      <w:tblPr>
        <w:tblW w:w="9354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09"/>
        <w:gridCol w:w="1730"/>
        <w:gridCol w:w="850"/>
        <w:gridCol w:w="992"/>
        <w:gridCol w:w="1105"/>
        <w:gridCol w:w="1276"/>
        <w:gridCol w:w="1276"/>
        <w:gridCol w:w="1417"/>
      </w:tblGrid>
      <w:tr>
        <w:tblPrEx/>
        <w:trPr/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№ п/п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730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color w:val="ff0000"/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Наименование имущества</w:t>
            </w:r>
            <w:r>
              <w:rPr>
                <w:color w:val="ff0000"/>
                <w:sz w:val="24"/>
                <w:szCs w:val="24"/>
              </w:rPr>
            </w:r>
            <w:r>
              <w:rPr>
                <w:color w:val="ff0000"/>
                <w:sz w:val="24"/>
                <w:szCs w:val="24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Инв. номер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Год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ввода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в экспл.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105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Площадь,</w:t>
            </w:r>
            <w:r>
              <w:rPr>
                <w:sz w:val="24"/>
                <w:szCs w:val="24"/>
              </w:rPr>
              <w:t xml:space="preserve"> кв.м.</w:t>
            </w:r>
            <w:r>
              <w:rPr>
                <w:sz w:val="24"/>
                <w:szCs w:val="24"/>
              </w:rPr>
              <w:t xml:space="preserve">/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ind w:left="-113" w:right="-113"/>
              <w:jc w:val="center"/>
              <w:rPr>
                <w:sz w:val="24"/>
                <w:szCs w:val="24"/>
                <w:highlight w:val="none"/>
              </w:rPr>
              <w:suppressLineNumbers w:val="0"/>
            </w:pPr>
            <w:r>
              <w:rPr>
                <w:sz w:val="24"/>
                <w:szCs w:val="24"/>
              </w:rPr>
              <w:t xml:space="preserve">про</w:t>
            </w:r>
            <w:r>
              <w:rPr>
                <w:sz w:val="24"/>
                <w:szCs w:val="24"/>
              </w:rPr>
              <w:t xml:space="preserve">тяжен. м</w:t>
            </w:r>
            <w:r>
              <w:rPr>
                <w:sz w:val="24"/>
                <w:szCs w:val="24"/>
              </w:rPr>
              <w:t xml:space="preserve">,  кол-во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Балансовая стоимость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(руб.)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Остаточная стоимость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(руб.)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Техническое состояние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tbl>
      <w:tblPr>
        <w:tblW w:w="9354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09"/>
        <w:gridCol w:w="1730"/>
        <w:gridCol w:w="850"/>
        <w:gridCol w:w="992"/>
        <w:gridCol w:w="1105"/>
        <w:gridCol w:w="1276"/>
        <w:gridCol w:w="1276"/>
        <w:gridCol w:w="1417"/>
      </w:tblGrid>
      <w:tr>
        <w:tblPrEx/>
        <w:trPr>
          <w:trHeight w:val="3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30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Итого: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5" w:type="dxa"/>
            <w:vAlign w:val="top"/>
            <w:textDirection w:val="lrTb"/>
            <w:noWrap w:val="false"/>
          </w:tcPr>
          <w:p>
            <w:pPr>
              <w:ind w:left="-113" w:right="-113"/>
              <w:jc w:val="center"/>
              <w:rPr>
                <w:b/>
                <w:bCs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  <w:highlight w:val="none"/>
              </w:rPr>
              <w:t xml:space="preserve">103</w: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ind w:left="-113" w:right="-113"/>
              <w:jc w:val="center"/>
              <w:rPr>
                <w:b/>
                <w:bCs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  <w:highlight w:val="none"/>
              </w:rPr>
              <w:t xml:space="preserve">65481803,48</w: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ind w:left="-113" w:right="-113"/>
              <w:jc w:val="center"/>
              <w:rPr>
                <w:b/>
                <w:bCs/>
                <w:color w:val="00000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color w:val="000000"/>
                <w:sz w:val="24"/>
                <w:szCs w:val="24"/>
                <w:highlight w:val="none"/>
              </w:rPr>
              <w:t xml:space="preserve">33727987,17</w:t>
            </w:r>
            <w:r>
              <w:rPr>
                <w:b/>
                <w:bCs/>
                <w:color w:val="000000"/>
                <w:sz w:val="24"/>
                <w:szCs w:val="24"/>
              </w:rPr>
            </w:r>
            <w:r>
              <w:rPr>
                <w:b/>
                <w:bCs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6"/>
              <w:ind w:left="-113" w:right="-113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ind w:left="0" w:right="0" w:firstLine="0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720"/>
        <w:jc w:val="both"/>
        <w:rPr>
          <w:sz w:val="24"/>
          <w:szCs w:val="24"/>
        </w:rPr>
      </w:pPr>
      <w:r>
        <w:rPr>
          <w:bCs/>
          <w:sz w:val="24"/>
          <w:szCs w:val="24"/>
          <w:highlight w:val="none"/>
        </w:rPr>
        <w:t xml:space="preserve">1.2. </w:t>
      </w:r>
      <w:r>
        <w:rPr>
          <w:sz w:val="24"/>
          <w:szCs w:val="24"/>
        </w:rPr>
        <w:t xml:space="preserve">В приложени</w:t>
      </w:r>
      <w:r>
        <w:rPr>
          <w:sz w:val="24"/>
          <w:szCs w:val="24"/>
        </w:rPr>
        <w:t xml:space="preserve">я</w:t>
      </w:r>
      <w:r>
        <w:rPr>
          <w:sz w:val="24"/>
          <w:szCs w:val="24"/>
        </w:rPr>
        <w:t xml:space="preserve"> №1 и №2 </w:t>
      </w:r>
      <w:r>
        <w:rPr>
          <w:bCs/>
          <w:sz w:val="24"/>
          <w:szCs w:val="24"/>
        </w:rPr>
        <w:t xml:space="preserve">к Концессионному соглашению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р</w:t>
      </w:r>
      <w:r>
        <w:rPr>
          <w:bCs/>
          <w:sz w:val="24"/>
          <w:szCs w:val="24"/>
        </w:rPr>
        <w:t xml:space="preserve">аздела</w:t>
      </w:r>
      <w:r>
        <w:rPr>
          <w:bCs/>
          <w:sz w:val="24"/>
          <w:szCs w:val="24"/>
        </w:rPr>
        <w:t xml:space="preserve"> 3</w:t>
      </w:r>
      <w:r>
        <w:rPr>
          <w:bCs/>
          <w:sz w:val="24"/>
          <w:szCs w:val="24"/>
        </w:rPr>
        <w:t xml:space="preserve">. «</w:t>
      </w:r>
      <w:r>
        <w:rPr>
          <w:sz w:val="24"/>
          <w:szCs w:val="24"/>
        </w:rPr>
        <w:t xml:space="preserve">Здание, сооружение, тепловые сети, движимое имущество котельной </w:t>
      </w:r>
      <w:r>
        <w:rPr>
          <w:sz w:val="24"/>
          <w:szCs w:val="24"/>
        </w:rPr>
        <w:t xml:space="preserve">1–ой очереди, расположенной по адресу: Иркутская область, г.Тайшет, ул.Индустриальная, 3/1</w:t>
      </w:r>
      <w:r>
        <w:rPr>
          <w:sz w:val="24"/>
          <w:szCs w:val="24"/>
        </w:rPr>
        <w:t xml:space="preserve">» в таблицу</w:t>
      </w:r>
      <w:r>
        <w:rPr>
          <w:bCs/>
          <w:sz w:val="24"/>
          <w:szCs w:val="24"/>
        </w:rPr>
        <w:t xml:space="preserve"> «</w:t>
      </w:r>
      <w:r>
        <w:rPr>
          <w:bCs/>
          <w:sz w:val="24"/>
          <w:szCs w:val="24"/>
        </w:rPr>
        <w:t xml:space="preserve">Движимое имущество, технологически связанное с недвижимым имуществом» </w:t>
      </w:r>
      <w:r>
        <w:rPr>
          <w:bCs/>
          <w:sz w:val="24"/>
          <w:szCs w:val="24"/>
        </w:rPr>
        <w:t xml:space="preserve">внести следующие изменения: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</w:t>
      </w:r>
      <w:r>
        <w:rPr>
          <w:bCs/>
          <w:sz w:val="24"/>
          <w:szCs w:val="24"/>
        </w:rPr>
        <w:t xml:space="preserve">обавить </w:t>
      </w:r>
      <w:r>
        <w:rPr>
          <w:sz w:val="24"/>
          <w:szCs w:val="24"/>
        </w:rPr>
        <w:t xml:space="preserve">пункт № 154 и пункт № 155</w:t>
      </w:r>
      <w:r>
        <w:rPr>
          <w:sz w:val="24"/>
          <w:szCs w:val="24"/>
        </w:rPr>
        <w:t xml:space="preserve">;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W w:w="9354" w:type="dxa"/>
        <w:tblInd w:w="3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30" w:type="dxa"/>
          <w:top w:w="0" w:type="dxa"/>
          <w:right w:w="30" w:type="dxa"/>
          <w:bottom w:w="0" w:type="dxa"/>
        </w:tblCellMar>
        <w:tblLook w:val="04A0" w:firstRow="1" w:lastRow="0" w:firstColumn="1" w:lastColumn="0" w:noHBand="0" w:noVBand="1"/>
      </w:tblPr>
      <w:tblGrid>
        <w:gridCol w:w="709"/>
        <w:gridCol w:w="2126"/>
        <w:gridCol w:w="992"/>
        <w:gridCol w:w="850"/>
        <w:gridCol w:w="850"/>
        <w:gridCol w:w="1134"/>
        <w:gridCol w:w="1276"/>
        <w:gridCol w:w="1417"/>
      </w:tblGrid>
      <w:tr>
        <w:tblPrEx/>
        <w:trPr>
          <w:trHeight w:val="4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№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п/п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Наименование имущества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Инвен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тарный 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номер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Год 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ввода 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в экспл.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Кол-во, 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шт.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Балансовая стоимость (руб.)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Остаточная стоимость 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(руб.)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Техническое состояние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</w:tr>
      <w:tr>
        <w:tblPrEx/>
        <w:trPr>
          <w:trHeight w:val="2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tabs>
                <w:tab w:val="left" w:pos="255" w:leader="none"/>
              </w:tabs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154.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  <w:highlight w:val="white"/>
              </w:rPr>
              <w:suppressLineNumbers w:val="0"/>
            </w:pPr>
            <w:r>
              <w:rPr>
                <w:sz w:val="24"/>
                <w:szCs w:val="24"/>
                <w:highlight w:val="white"/>
              </w:rPr>
              <w:t xml:space="preserve">Подогреватель сетевой воды ПСВ 75-7-15 ст. №1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238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2001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100000,00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color w:val="000000"/>
                <w:sz w:val="24"/>
                <w:szCs w:val="24"/>
              </w:rPr>
              <w:suppressLineNumbers w:val="0"/>
            </w:pPr>
            <w:r>
              <w:rPr>
                <w:color w:val="000000"/>
                <w:sz w:val="24"/>
                <w:szCs w:val="24"/>
              </w:rPr>
              <w:t xml:space="preserve">99999,99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Удовлетворительное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57" w:firstLine="0"/>
              <w:jc w:val="center"/>
              <w:tabs>
                <w:tab w:val="left" w:pos="255" w:leader="none"/>
              </w:tabs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155.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  <w:highlight w:val="white"/>
              </w:rPr>
              <w:suppressLineNumbers w:val="0"/>
            </w:pPr>
            <w:r>
              <w:rPr>
                <w:sz w:val="24"/>
                <w:szCs w:val="24"/>
                <w:highlight w:val="white"/>
              </w:rPr>
              <w:t xml:space="preserve">Подогреватель сетевой воды ПСВ 75-7-15 ст. №2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242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2004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194000,00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color w:val="000000"/>
                <w:sz w:val="24"/>
                <w:szCs w:val="24"/>
              </w:rPr>
              <w:suppressLineNumbers w:val="0"/>
            </w:pPr>
            <w:r>
              <w:rPr>
                <w:color w:val="000000"/>
                <w:sz w:val="24"/>
                <w:szCs w:val="24"/>
              </w:rPr>
              <w:t xml:space="preserve">0,00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sz w:val="24"/>
                <w:szCs w:val="24"/>
              </w:rPr>
              <w:suppressLineNumbers w:val="0"/>
            </w:pPr>
            <w:r>
              <w:rPr>
                <w:sz w:val="24"/>
                <w:szCs w:val="24"/>
              </w:rPr>
              <w:t xml:space="preserve">Удовлетворительное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ind w:left="0" w:right="0" w:firstLine="720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720"/>
        <w:jc w:val="both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с</w:t>
      </w:r>
      <w:r>
        <w:rPr>
          <w:sz w:val="24"/>
          <w:szCs w:val="24"/>
        </w:rPr>
        <w:t xml:space="preserve">троку «Итого»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изложить в следующей редакц</w:t>
      </w:r>
      <w:r>
        <w:rPr>
          <w:sz w:val="24"/>
          <w:szCs w:val="24"/>
        </w:rPr>
        <w:t xml:space="preserve">ии: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tbl>
      <w:tblPr>
        <w:tblW w:w="9496" w:type="dxa"/>
        <w:tblInd w:w="3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30" w:type="dxa"/>
          <w:top w:w="0" w:type="dxa"/>
          <w:right w:w="30" w:type="dxa"/>
          <w:bottom w:w="0" w:type="dxa"/>
        </w:tblCellMar>
        <w:tblLook w:val="04A0" w:firstRow="1" w:lastRow="0" w:firstColumn="1" w:lastColumn="0" w:noHBand="0" w:noVBand="1"/>
      </w:tblPr>
      <w:tblGrid>
        <w:gridCol w:w="709"/>
        <w:gridCol w:w="2126"/>
        <w:gridCol w:w="992"/>
        <w:gridCol w:w="850"/>
        <w:gridCol w:w="850"/>
        <w:gridCol w:w="1276"/>
        <w:gridCol w:w="1276"/>
        <w:gridCol w:w="1417"/>
      </w:tblGrid>
      <w:tr>
        <w:tblPrEx/>
        <w:trPr>
          <w:trHeight w:val="4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№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п/п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Наименование имущества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Инвен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тарный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номер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Год 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ввода 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в экспл.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Кол-во,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шт.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Балансовая стоимость (руб.)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Остаточная стоимость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(руб.)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Техническое состояние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</w:tr>
      <w:tr>
        <w:tblPrEx/>
        <w:trPr>
          <w:trHeight w:val="2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tabs>
                <w:tab w:val="num" w:pos="540" w:leader="none"/>
              </w:tabs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Итого:</w: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-57" w:right="-57"/>
              <w:jc w:val="center"/>
              <w:rPr>
                <w:b/>
                <w:bCs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  <w:highlight w:val="none"/>
              </w:rPr>
              <w:t xml:space="preserve">191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ind w:left="-57" w:right="-57"/>
              <w:jc w:val="center"/>
              <w:rPr>
                <w:b/>
                <w:bCs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  <w:highlight w:val="none"/>
              </w:rPr>
              <w:t xml:space="preserve">5112715,37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ind w:left="-57" w:right="-57"/>
              <w:jc w:val="center"/>
              <w:rPr>
                <w:b/>
                <w:bCs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  <w:highlight w:val="none"/>
              </w:rPr>
              <w:t xml:space="preserve">1795365,01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6"/>
              <w:ind w:left="-57" w:right="-57"/>
              <w:jc w:val="center"/>
              <w:rPr>
                <w:b/>
                <w:sz w:val="20"/>
                <w:szCs w:val="20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</w:r>
          </w:p>
        </w:tc>
      </w:tr>
    </w:tbl>
    <w:p>
      <w:pPr>
        <w:ind w:left="0" w:right="0" w:firstLine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01"/>
        <w:ind w:right="0" w:firstLine="720"/>
        <w:jc w:val="both"/>
        <w:spacing w:after="0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2. Отделу  по управлению муниципальным имуществом администрации Тайшетского городского поселения (</w:t>
      </w:r>
      <w:r>
        <w:rPr>
          <w:sz w:val="24"/>
          <w:szCs w:val="24"/>
        </w:rPr>
        <w:t xml:space="preserve">Тун-Куй-Сю О.</w:t>
      </w:r>
      <w:r>
        <w:rPr>
          <w:sz w:val="24"/>
          <w:szCs w:val="24"/>
        </w:rPr>
        <w:t xml:space="preserve">В.) </w:t>
      </w:r>
      <w:r>
        <w:rPr>
          <w:sz w:val="24"/>
          <w:szCs w:val="24"/>
        </w:rPr>
        <w:t xml:space="preserve">подготовить </w:t>
      </w:r>
      <w:r>
        <w:rPr>
          <w:sz w:val="24"/>
          <w:szCs w:val="24"/>
        </w:rPr>
        <w:t xml:space="preserve">Дополнительное с</w:t>
      </w:r>
      <w:r>
        <w:rPr>
          <w:sz w:val="24"/>
          <w:szCs w:val="24"/>
        </w:rPr>
        <w:t xml:space="preserve">оглашение о внесении изменений в Концессионное соглашение от 13 декабря 2013года №803 с АО «Байкалэнерго».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86"/>
        <w:ind w:left="142" w:right="0" w:firstLine="720"/>
        <w:jc w:val="both"/>
        <w:rPr>
          <w:b w:val="0"/>
          <w:bCs w:val="0"/>
          <w:color w:val="000000" w:themeColor="text1"/>
          <w:sz w:val="24"/>
          <w:szCs w:val="24"/>
          <w:u w:val="none"/>
        </w:rPr>
        <w:suppressLineNumbers w:val="0"/>
      </w:pPr>
      <w:r>
        <w:rPr>
          <w:sz w:val="24"/>
          <w:szCs w:val="24"/>
        </w:rPr>
        <w:t xml:space="preserve">3. Нача</w:t>
      </w:r>
      <w:r>
        <w:rPr>
          <w:sz w:val="24"/>
          <w:szCs w:val="24"/>
        </w:rPr>
        <w:t xml:space="preserve">льнику отдела по организационной работе, контролю и делопроизводству администрации Тайшетского городского поселения Бычковой В.Д. опубликовать в официальных средствах массовой информации и на официальном сайте администрации Тайшетского городского поселени</w:t>
      </w:r>
      <w:r>
        <w:rPr>
          <w:b w:val="0"/>
          <w:bCs w:val="0"/>
          <w:color w:val="000000" w:themeColor="text1"/>
          <w:sz w:val="24"/>
          <w:szCs w:val="24"/>
          <w:u w:val="none"/>
        </w:rPr>
        <w:t xml:space="preserve">я</w:t>
      </w:r>
      <w:r>
        <w:rPr>
          <w:b w:val="0"/>
          <w:bCs w:val="0"/>
          <w:color w:val="000000" w:themeColor="text1"/>
          <w:sz w:val="24"/>
          <w:szCs w:val="24"/>
          <w:u w:val="none"/>
        </w:rPr>
        <w:t xml:space="preserve">: </w:t>
      </w:r>
      <w:r>
        <w:rPr>
          <w:b w:val="0"/>
          <w:bCs w:val="0"/>
          <w:color w:val="000000" w:themeColor="text1"/>
          <w:sz w:val="24"/>
          <w:szCs w:val="24"/>
          <w:u w:val="none"/>
        </w:rPr>
        <w:fldChar w:fldCharType="begin"/>
      </w:r>
      <w:r>
        <w:rPr>
          <w:b w:val="0"/>
          <w:bCs w:val="0"/>
          <w:color w:val="000000" w:themeColor="text1"/>
          <w:sz w:val="24"/>
          <w:szCs w:val="24"/>
          <w:u w:val="none"/>
        </w:rPr>
        <w:instrText xml:space="preserve"> HYPERLINK "http://www.gorodta</w:instrText>
      </w:r>
      <w:r>
        <w:rPr>
          <w:b w:val="0"/>
          <w:bCs w:val="0"/>
          <w:color w:val="000000" w:themeColor="text1"/>
          <w:sz w:val="24"/>
          <w:szCs w:val="24"/>
          <w:u w:val="none"/>
        </w:rPr>
        <w:instrText xml:space="preserve">i</w:instrText>
      </w:r>
      <w:r>
        <w:rPr>
          <w:b w:val="0"/>
          <w:bCs w:val="0"/>
          <w:color w:val="000000" w:themeColor="text1"/>
          <w:sz w:val="24"/>
          <w:szCs w:val="24"/>
          <w:u w:val="none"/>
        </w:rPr>
        <w:instrText xml:space="preserve">shet.ru" </w:instrText>
      </w:r>
      <w:r>
        <w:rPr>
          <w:b w:val="0"/>
          <w:bCs w:val="0"/>
          <w:color w:val="000000" w:themeColor="text1"/>
          <w:sz w:val="24"/>
          <w:szCs w:val="24"/>
          <w:u w:val="none"/>
        </w:rPr>
        <w:fldChar w:fldCharType="separate"/>
      </w:r>
      <w:r>
        <w:rPr>
          <w:rStyle w:val="902"/>
          <w:b w:val="0"/>
          <w:bCs w:val="0"/>
          <w:color w:val="000000" w:themeColor="text1"/>
          <w:sz w:val="24"/>
          <w:szCs w:val="24"/>
          <w:u w:val="none"/>
        </w:rPr>
        <w:t xml:space="preserve">www.gorodtaishet.ru</w:t>
      </w:r>
      <w:r>
        <w:rPr>
          <w:b w:val="0"/>
          <w:bCs w:val="0"/>
          <w:color w:val="000000" w:themeColor="text1"/>
          <w:sz w:val="24"/>
          <w:szCs w:val="24"/>
          <w:u w:val="none"/>
        </w:rPr>
        <w:fldChar w:fldCharType="end"/>
      </w:r>
      <w:r>
        <w:rPr>
          <w:b w:val="0"/>
          <w:bCs w:val="0"/>
          <w:color w:val="000000" w:themeColor="text1"/>
          <w:sz w:val="24"/>
          <w:szCs w:val="24"/>
          <w:u w:val="none"/>
        </w:rPr>
        <w:t xml:space="preserve">. </w:t>
      </w:r>
      <w:r>
        <w:rPr>
          <w:b w:val="0"/>
          <w:bCs w:val="0"/>
          <w:color w:val="000000" w:themeColor="text1"/>
          <w:sz w:val="24"/>
          <w:szCs w:val="24"/>
          <w:u w:val="none"/>
        </w:rPr>
      </w:r>
      <w:r>
        <w:rPr>
          <w:b w:val="0"/>
          <w:bCs w:val="0"/>
          <w:color w:val="000000" w:themeColor="text1"/>
          <w:sz w:val="24"/>
          <w:szCs w:val="24"/>
          <w:u w:val="none"/>
        </w:rPr>
      </w:r>
    </w:p>
    <w:p>
      <w:pPr>
        <w:pStyle w:val="901"/>
        <w:ind w:right="0" w:firstLine="720"/>
        <w:jc w:val="both"/>
        <w:spacing w:after="0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 4. Контроль за исполнением настоящего постановления </w:t>
      </w:r>
      <w:r>
        <w:rPr>
          <w:sz w:val="24"/>
          <w:szCs w:val="24"/>
        </w:rPr>
        <w:t xml:space="preserve">возложить на заместителя главы Тайшетского городского поселения Захарича В.В.</w:t>
      </w: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0" w:firstLine="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86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86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Глава Тайшетского </w:t>
      </w:r>
      <w:r>
        <w:rPr>
          <w:highlight w:val="none"/>
        </w:rPr>
      </w:r>
    </w:p>
    <w:p>
      <w:pPr>
        <w:ind w:left="0" w:firstLine="0"/>
        <w:rPr>
          <w:highlight w:val="none"/>
        </w:rPr>
      </w:pPr>
      <w:r>
        <w:rPr>
          <w:sz w:val="24"/>
          <w:szCs w:val="24"/>
        </w:rPr>
        <w:t xml:space="preserve">городского поселения </w:t>
        <w:tab/>
        <w:tab/>
        <w:tab/>
        <w:tab/>
        <w:tab/>
        <w:tab/>
        <w:tab/>
        <w:t xml:space="preserve">Р.О. Ле</w:t>
      </w:r>
      <w:r>
        <w:rPr>
          <w:szCs w:val="22"/>
        </w:rPr>
        <w:t xml:space="preserve">оненко</w:t>
      </w:r>
      <w:r>
        <w:rPr>
          <w:highlight w:val="none"/>
        </w:rPr>
      </w:r>
      <w:r/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86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86"/>
        <w:rPr>
          <w:sz w:val="24"/>
          <w:szCs w:val="24"/>
        </w:rPr>
      </w:pPr>
      <w:r>
        <w:rPr>
          <w:sz w:val="24"/>
          <w:szCs w:val="24"/>
        </w:rPr>
        <w:t xml:space="preserve">Исп.: Трифоненко О.В.,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8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тел. 2-23-65</w:t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Times New Roman">
    <w:panose1 w:val="02020603050405020304"/>
  </w:font>
  <w:font w:name="Calibri">
    <w:panose1 w:val="020F0502020204030204"/>
  </w:font>
  <w:font w:name="Courier New">
    <w:panose1 w:val="020704090202050204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1140" w:hanging="360"/>
        <w:tabs>
          <w:tab w:val="num" w:pos="114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0"/>
      <w:numFmt w:val="bullet"/>
      <w:isLgl w:val="false"/>
      <w:suff w:val="tab"/>
      <w:lvlText w:val="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1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22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1" w:hanging="180"/>
      </w:pPr>
    </w:lvl>
  </w:abstractNum>
  <w:abstractNum w:abstractNumId="8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1140" w:hanging="360"/>
        <w:tabs>
          <w:tab w:val="num" w:pos="114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170" w:hanging="390"/>
        <w:tabs>
          <w:tab w:val="num" w:pos="117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500" w:hanging="720"/>
        <w:tabs>
          <w:tab w:val="num" w:pos="15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500" w:hanging="720"/>
        <w:tabs>
          <w:tab w:val="num" w:pos="150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860" w:hanging="1080"/>
        <w:tabs>
          <w:tab w:val="num" w:pos="18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60" w:hanging="1080"/>
        <w:tabs>
          <w:tab w:val="num" w:pos="186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220" w:hanging="1440"/>
        <w:tabs>
          <w:tab w:val="num" w:pos="222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220" w:hanging="1440"/>
        <w:tabs>
          <w:tab w:val="num" w:pos="2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80" w:hanging="1800"/>
        <w:tabs>
          <w:tab w:val="num" w:pos="2580" w:leader="none"/>
        </w:tabs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129" w:hanging="420"/>
        <w:tabs>
          <w:tab w:val="num" w:pos="1129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8" w:hanging="720"/>
        <w:tabs>
          <w:tab w:val="num" w:pos="2138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847" w:hanging="720"/>
        <w:tabs>
          <w:tab w:val="num" w:pos="2847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916" w:hanging="1080"/>
        <w:tabs>
          <w:tab w:val="num" w:pos="3916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4625" w:hanging="1080"/>
        <w:tabs>
          <w:tab w:val="num" w:pos="462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5694" w:hanging="1440"/>
        <w:tabs>
          <w:tab w:val="num" w:pos="5694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403" w:hanging="1440"/>
        <w:tabs>
          <w:tab w:val="num" w:pos="6403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472" w:hanging="1800"/>
        <w:tabs>
          <w:tab w:val="num" w:pos="7472" w:leader="none"/>
        </w:tabs>
      </w:p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440" w:hanging="360"/>
        <w:tabs>
          <w:tab w:val="num" w:pos="144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1140" w:hanging="360"/>
        <w:tabs>
          <w:tab w:val="num" w:pos="114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170" w:hanging="390"/>
        <w:tabs>
          <w:tab w:val="num" w:pos="117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500" w:hanging="720"/>
        <w:tabs>
          <w:tab w:val="num" w:pos="15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500" w:hanging="720"/>
        <w:tabs>
          <w:tab w:val="num" w:pos="150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860" w:hanging="1080"/>
        <w:tabs>
          <w:tab w:val="num" w:pos="18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60" w:hanging="1080"/>
        <w:tabs>
          <w:tab w:val="num" w:pos="186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220" w:hanging="1440"/>
        <w:tabs>
          <w:tab w:val="num" w:pos="222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220" w:hanging="1440"/>
        <w:tabs>
          <w:tab w:val="num" w:pos="2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80" w:hanging="1800"/>
        <w:tabs>
          <w:tab w:val="num" w:pos="2580" w:leader="none"/>
        </w:tabs>
      </w:pPr>
    </w:lvl>
  </w:abstractNum>
  <w:abstractNum w:abstractNumId="17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590" w:hanging="360"/>
        <w:tabs>
          <w:tab w:val="num" w:pos="159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310" w:hanging="180"/>
        <w:tabs>
          <w:tab w:val="num" w:pos="231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30" w:hanging="360"/>
        <w:tabs>
          <w:tab w:val="num" w:pos="303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750" w:hanging="360"/>
        <w:tabs>
          <w:tab w:val="num" w:pos="375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470" w:hanging="180"/>
        <w:tabs>
          <w:tab w:val="num" w:pos="447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190" w:hanging="360"/>
        <w:tabs>
          <w:tab w:val="num" w:pos="519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910" w:hanging="360"/>
        <w:tabs>
          <w:tab w:val="num" w:pos="591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30" w:hanging="180"/>
        <w:tabs>
          <w:tab w:val="num" w:pos="6630" w:leader="none"/>
        </w:tabs>
      </w:pPr>
    </w:lvl>
  </w:abstractNum>
  <w:abstractNum w:abstractNumId="1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590" w:hanging="360"/>
        <w:tabs>
          <w:tab w:val="num" w:pos="159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310" w:hanging="180"/>
        <w:tabs>
          <w:tab w:val="num" w:pos="231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30" w:hanging="360"/>
        <w:tabs>
          <w:tab w:val="num" w:pos="303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750" w:hanging="360"/>
        <w:tabs>
          <w:tab w:val="num" w:pos="375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470" w:hanging="180"/>
        <w:tabs>
          <w:tab w:val="num" w:pos="447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190" w:hanging="360"/>
        <w:tabs>
          <w:tab w:val="num" w:pos="519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910" w:hanging="360"/>
        <w:tabs>
          <w:tab w:val="num" w:pos="591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30" w:hanging="180"/>
        <w:tabs>
          <w:tab w:val="num" w:pos="6630" w:leader="none"/>
        </w:tabs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67" w:hanging="312"/>
      </w:pPr>
    </w:lvl>
    <w:lvl w:ilvl="1">
      <w:start w:val="1"/>
      <w:numFmt w:val="lowerLetter"/>
      <w:isLgl w:val="false"/>
      <w:suff w:val="tab"/>
      <w:lvlText w:val="%2."/>
      <w:lvlJc w:val="left"/>
      <w:pPr>
        <w:ind w:left="133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05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77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49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21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93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65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375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67" w:hanging="312"/>
      </w:pPr>
    </w:lvl>
    <w:lvl w:ilvl="1">
      <w:start w:val="1"/>
      <w:numFmt w:val="lowerLetter"/>
      <w:isLgl w:val="false"/>
      <w:suff w:val="tab"/>
      <w:lvlText w:val="%2."/>
      <w:lvlJc w:val="left"/>
      <w:pPr>
        <w:ind w:left="133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05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77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49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21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93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65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375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2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6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2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89" w:hanging="360"/>
      </w:pPr>
      <w:rPr>
        <w:rFonts w:hint="default" w:ascii="Wingdings" w:hAnsi="Wingdings" w:eastAsia="Wingdings" w:cs="Wingdings"/>
      </w:r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2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6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2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89" w:hanging="360"/>
      </w:pPr>
      <w:rPr>
        <w:rFonts w:hint="default" w:ascii="Wingdings" w:hAnsi="Wingdings" w:eastAsia="Wingdings" w:cs="Wingdings"/>
      </w:rPr>
    </w:lvl>
  </w:abstractNum>
  <w:abstractNum w:abstractNumId="2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2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6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2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89" w:hanging="360"/>
      </w:pPr>
      <w:rPr>
        <w:rFonts w:hint="default" w:ascii="Wingdings" w:hAnsi="Wingdings" w:eastAsia="Wingdings" w:cs="Wingdings"/>
      </w:rPr>
    </w:lvl>
  </w:abstractNum>
  <w:num w:numId="1">
    <w:abstractNumId w:val="9"/>
  </w:num>
  <w:num w:numId="2">
    <w:abstractNumId w:val="11"/>
  </w:num>
  <w:num w:numId="3">
    <w:abstractNumId w:val="5"/>
  </w:num>
  <w:num w:numId="4">
    <w:abstractNumId w:val="6"/>
  </w:num>
  <w:num w:numId="5">
    <w:abstractNumId w:val="15"/>
  </w:num>
  <w:num w:numId="6">
    <w:abstractNumId w:val="13"/>
  </w:num>
  <w:num w:numId="7">
    <w:abstractNumId w:val="14"/>
  </w:num>
  <w:num w:numId="8">
    <w:abstractNumId w:val="0"/>
  </w:num>
  <w:num w:numId="9">
    <w:abstractNumId w:val="16"/>
  </w:num>
  <w:num w:numId="10">
    <w:abstractNumId w:val="8"/>
  </w:num>
  <w:num w:numId="11">
    <w:abstractNumId w:val="2"/>
  </w:num>
  <w:num w:numId="12">
    <w:abstractNumId w:val="4"/>
  </w:num>
  <w:num w:numId="13">
    <w:abstractNumId w:val="3"/>
  </w:num>
  <w:num w:numId="14">
    <w:abstractNumId w:val="1"/>
  </w:num>
  <w:num w:numId="15">
    <w:abstractNumId w:val="12"/>
  </w:num>
  <w:num w:numId="16">
    <w:abstractNumId w:val="17"/>
  </w:num>
  <w:num w:numId="17">
    <w:abstractNumId w:val="18"/>
  </w:num>
  <w:num w:numId="18">
    <w:abstractNumId w:val="10"/>
  </w:num>
  <w:num w:numId="19">
    <w:abstractNumId w:val="7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8">
    <w:name w:val="Heading 1"/>
    <w:basedOn w:val="886"/>
    <w:next w:val="886"/>
    <w:link w:val="70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9">
    <w:name w:val="Heading 1 Char"/>
    <w:link w:val="708"/>
    <w:uiPriority w:val="9"/>
    <w:rPr>
      <w:rFonts w:ascii="Arial" w:hAnsi="Arial" w:eastAsia="Arial" w:cs="Arial"/>
      <w:sz w:val="40"/>
      <w:szCs w:val="40"/>
    </w:rPr>
  </w:style>
  <w:style w:type="paragraph" w:styleId="710">
    <w:name w:val="Heading 2"/>
    <w:basedOn w:val="886"/>
    <w:next w:val="886"/>
    <w:link w:val="71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1">
    <w:name w:val="Heading 2 Char"/>
    <w:link w:val="710"/>
    <w:uiPriority w:val="9"/>
    <w:rPr>
      <w:rFonts w:ascii="Arial" w:hAnsi="Arial" w:eastAsia="Arial" w:cs="Arial"/>
      <w:sz w:val="34"/>
    </w:rPr>
  </w:style>
  <w:style w:type="paragraph" w:styleId="712">
    <w:name w:val="Heading 3"/>
    <w:basedOn w:val="886"/>
    <w:next w:val="886"/>
    <w:link w:val="71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3">
    <w:name w:val="Heading 3 Char"/>
    <w:link w:val="712"/>
    <w:uiPriority w:val="9"/>
    <w:rPr>
      <w:rFonts w:ascii="Arial" w:hAnsi="Arial" w:eastAsia="Arial" w:cs="Arial"/>
      <w:sz w:val="30"/>
      <w:szCs w:val="30"/>
    </w:rPr>
  </w:style>
  <w:style w:type="paragraph" w:styleId="714">
    <w:name w:val="Heading 4"/>
    <w:basedOn w:val="886"/>
    <w:next w:val="886"/>
    <w:link w:val="71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5">
    <w:name w:val="Heading 4 Char"/>
    <w:link w:val="714"/>
    <w:uiPriority w:val="9"/>
    <w:rPr>
      <w:rFonts w:ascii="Arial" w:hAnsi="Arial" w:eastAsia="Arial" w:cs="Arial"/>
      <w:b/>
      <w:bCs/>
      <w:sz w:val="26"/>
      <w:szCs w:val="26"/>
    </w:rPr>
  </w:style>
  <w:style w:type="paragraph" w:styleId="716">
    <w:name w:val="Heading 5"/>
    <w:basedOn w:val="886"/>
    <w:next w:val="886"/>
    <w:link w:val="71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7">
    <w:name w:val="Heading 5 Char"/>
    <w:link w:val="716"/>
    <w:uiPriority w:val="9"/>
    <w:rPr>
      <w:rFonts w:ascii="Arial" w:hAnsi="Arial" w:eastAsia="Arial" w:cs="Arial"/>
      <w:b/>
      <w:bCs/>
      <w:sz w:val="24"/>
      <w:szCs w:val="24"/>
    </w:rPr>
  </w:style>
  <w:style w:type="paragraph" w:styleId="718">
    <w:name w:val="Heading 6"/>
    <w:basedOn w:val="886"/>
    <w:next w:val="886"/>
    <w:link w:val="71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9">
    <w:name w:val="Heading 6 Char"/>
    <w:link w:val="718"/>
    <w:uiPriority w:val="9"/>
    <w:rPr>
      <w:rFonts w:ascii="Arial" w:hAnsi="Arial" w:eastAsia="Arial" w:cs="Arial"/>
      <w:b/>
      <w:bCs/>
      <w:sz w:val="22"/>
      <w:szCs w:val="22"/>
    </w:rPr>
  </w:style>
  <w:style w:type="paragraph" w:styleId="720">
    <w:name w:val="Heading 7"/>
    <w:basedOn w:val="886"/>
    <w:next w:val="886"/>
    <w:link w:val="72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1">
    <w:name w:val="Heading 7 Char"/>
    <w:link w:val="72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2">
    <w:name w:val="Heading 8"/>
    <w:basedOn w:val="886"/>
    <w:next w:val="886"/>
    <w:link w:val="72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3">
    <w:name w:val="Heading 8 Char"/>
    <w:link w:val="722"/>
    <w:uiPriority w:val="9"/>
    <w:rPr>
      <w:rFonts w:ascii="Arial" w:hAnsi="Arial" w:eastAsia="Arial" w:cs="Arial"/>
      <w:i/>
      <w:iCs/>
      <w:sz w:val="22"/>
      <w:szCs w:val="22"/>
    </w:rPr>
  </w:style>
  <w:style w:type="paragraph" w:styleId="724">
    <w:name w:val="Heading 9"/>
    <w:basedOn w:val="886"/>
    <w:next w:val="886"/>
    <w:link w:val="72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5">
    <w:name w:val="Heading 9 Char"/>
    <w:link w:val="724"/>
    <w:uiPriority w:val="9"/>
    <w:rPr>
      <w:rFonts w:ascii="Arial" w:hAnsi="Arial" w:eastAsia="Arial" w:cs="Arial"/>
      <w:i/>
      <w:iCs/>
      <w:sz w:val="21"/>
      <w:szCs w:val="21"/>
    </w:rPr>
  </w:style>
  <w:style w:type="paragraph" w:styleId="726">
    <w:name w:val="List Paragraph"/>
    <w:basedOn w:val="886"/>
    <w:uiPriority w:val="34"/>
    <w:qFormat/>
    <w:pPr>
      <w:contextualSpacing/>
      <w:ind w:left="720"/>
    </w:pPr>
  </w:style>
  <w:style w:type="paragraph" w:styleId="727">
    <w:name w:val="No Spacing"/>
    <w:uiPriority w:val="1"/>
    <w:qFormat/>
    <w:pPr>
      <w:spacing w:before="0" w:after="0" w:line="240" w:lineRule="auto"/>
    </w:pPr>
  </w:style>
  <w:style w:type="paragraph" w:styleId="728">
    <w:name w:val="Title"/>
    <w:basedOn w:val="886"/>
    <w:next w:val="886"/>
    <w:link w:val="72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9">
    <w:name w:val="Title Char"/>
    <w:link w:val="728"/>
    <w:uiPriority w:val="10"/>
    <w:rPr>
      <w:sz w:val="48"/>
      <w:szCs w:val="48"/>
    </w:rPr>
  </w:style>
  <w:style w:type="paragraph" w:styleId="730">
    <w:name w:val="Subtitle"/>
    <w:basedOn w:val="886"/>
    <w:next w:val="886"/>
    <w:link w:val="731"/>
    <w:uiPriority w:val="11"/>
    <w:qFormat/>
    <w:pPr>
      <w:spacing w:before="200" w:after="200"/>
    </w:pPr>
    <w:rPr>
      <w:sz w:val="24"/>
      <w:szCs w:val="24"/>
    </w:rPr>
  </w:style>
  <w:style w:type="character" w:styleId="731">
    <w:name w:val="Subtitle Char"/>
    <w:link w:val="730"/>
    <w:uiPriority w:val="11"/>
    <w:rPr>
      <w:sz w:val="24"/>
      <w:szCs w:val="24"/>
    </w:rPr>
  </w:style>
  <w:style w:type="paragraph" w:styleId="732">
    <w:name w:val="Quote"/>
    <w:basedOn w:val="886"/>
    <w:next w:val="886"/>
    <w:link w:val="733"/>
    <w:uiPriority w:val="29"/>
    <w:qFormat/>
    <w:pPr>
      <w:ind w:left="720" w:right="720"/>
    </w:pPr>
    <w:rPr>
      <w:i/>
    </w:rPr>
  </w:style>
  <w:style w:type="character" w:styleId="733">
    <w:name w:val="Quote Char"/>
    <w:link w:val="732"/>
    <w:uiPriority w:val="29"/>
    <w:rPr>
      <w:i/>
    </w:rPr>
  </w:style>
  <w:style w:type="paragraph" w:styleId="734">
    <w:name w:val="Intense Quote"/>
    <w:basedOn w:val="886"/>
    <w:next w:val="886"/>
    <w:link w:val="73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5">
    <w:name w:val="Intense Quote Char"/>
    <w:link w:val="734"/>
    <w:uiPriority w:val="30"/>
    <w:rPr>
      <w:i/>
    </w:rPr>
  </w:style>
  <w:style w:type="paragraph" w:styleId="736">
    <w:name w:val="Header"/>
    <w:basedOn w:val="886"/>
    <w:link w:val="73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7">
    <w:name w:val="Header Char"/>
    <w:link w:val="736"/>
    <w:uiPriority w:val="99"/>
  </w:style>
  <w:style w:type="paragraph" w:styleId="738">
    <w:name w:val="Footer"/>
    <w:basedOn w:val="886"/>
    <w:link w:val="73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9">
    <w:name w:val="Footer Char"/>
    <w:link w:val="738"/>
    <w:uiPriority w:val="99"/>
  </w:style>
  <w:style w:type="paragraph" w:styleId="740">
    <w:name w:val="Caption"/>
    <w:basedOn w:val="886"/>
    <w:next w:val="886"/>
    <w:link w:val="74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1">
    <w:name w:val="Caption Char"/>
    <w:link w:val="740"/>
    <w:uiPriority w:val="35"/>
    <w:rPr>
      <w:b/>
      <w:bCs/>
      <w:color w:val="4f81bd" w:themeColor="accent1"/>
      <w:sz w:val="18"/>
      <w:szCs w:val="18"/>
    </w:rPr>
  </w:style>
  <w:style w:type="table" w:styleId="742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3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1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2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3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4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5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6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8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9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0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1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2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3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5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6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7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8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9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0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1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6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7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8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9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0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1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9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4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5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6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7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8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9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0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1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2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3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4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5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6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7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8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9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0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1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2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3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4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5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6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7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8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9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0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1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2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3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4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5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6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7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8">
    <w:name w:val="Hyperlink"/>
    <w:uiPriority w:val="99"/>
    <w:unhideWhenUsed/>
    <w:rPr>
      <w:color w:val="0000ff" w:themeColor="hyperlink"/>
      <w:u w:val="single"/>
    </w:rPr>
  </w:style>
  <w:style w:type="paragraph" w:styleId="869">
    <w:name w:val="footnote text"/>
    <w:basedOn w:val="886"/>
    <w:link w:val="870"/>
    <w:uiPriority w:val="99"/>
    <w:semiHidden/>
    <w:unhideWhenUsed/>
    <w:pPr>
      <w:spacing w:after="40" w:line="240" w:lineRule="auto"/>
    </w:pPr>
    <w:rPr>
      <w:sz w:val="18"/>
    </w:rPr>
  </w:style>
  <w:style w:type="character" w:styleId="870">
    <w:name w:val="Footnote Text Char"/>
    <w:link w:val="869"/>
    <w:uiPriority w:val="99"/>
    <w:rPr>
      <w:sz w:val="18"/>
    </w:rPr>
  </w:style>
  <w:style w:type="character" w:styleId="871">
    <w:name w:val="footnote reference"/>
    <w:uiPriority w:val="99"/>
    <w:unhideWhenUsed/>
    <w:rPr>
      <w:vertAlign w:val="superscript"/>
    </w:rPr>
  </w:style>
  <w:style w:type="paragraph" w:styleId="872">
    <w:name w:val="endnote text"/>
    <w:basedOn w:val="886"/>
    <w:link w:val="873"/>
    <w:uiPriority w:val="99"/>
    <w:semiHidden/>
    <w:unhideWhenUsed/>
    <w:pPr>
      <w:spacing w:after="0" w:line="240" w:lineRule="auto"/>
    </w:pPr>
    <w:rPr>
      <w:sz w:val="20"/>
    </w:rPr>
  </w:style>
  <w:style w:type="character" w:styleId="873">
    <w:name w:val="Endnote Text Char"/>
    <w:link w:val="872"/>
    <w:uiPriority w:val="99"/>
    <w:rPr>
      <w:sz w:val="20"/>
    </w:rPr>
  </w:style>
  <w:style w:type="character" w:styleId="874">
    <w:name w:val="endnote reference"/>
    <w:uiPriority w:val="99"/>
    <w:semiHidden/>
    <w:unhideWhenUsed/>
    <w:rPr>
      <w:vertAlign w:val="superscript"/>
    </w:rPr>
  </w:style>
  <w:style w:type="paragraph" w:styleId="875">
    <w:name w:val="toc 1"/>
    <w:basedOn w:val="886"/>
    <w:next w:val="886"/>
    <w:uiPriority w:val="39"/>
    <w:unhideWhenUsed/>
    <w:pPr>
      <w:ind w:left="0" w:right="0" w:firstLine="0"/>
      <w:spacing w:after="57"/>
    </w:pPr>
  </w:style>
  <w:style w:type="paragraph" w:styleId="876">
    <w:name w:val="toc 2"/>
    <w:basedOn w:val="886"/>
    <w:next w:val="886"/>
    <w:uiPriority w:val="39"/>
    <w:unhideWhenUsed/>
    <w:pPr>
      <w:ind w:left="283" w:right="0" w:firstLine="0"/>
      <w:spacing w:after="57"/>
    </w:pPr>
  </w:style>
  <w:style w:type="paragraph" w:styleId="877">
    <w:name w:val="toc 3"/>
    <w:basedOn w:val="886"/>
    <w:next w:val="886"/>
    <w:uiPriority w:val="39"/>
    <w:unhideWhenUsed/>
    <w:pPr>
      <w:ind w:left="567" w:right="0" w:firstLine="0"/>
      <w:spacing w:after="57"/>
    </w:pPr>
  </w:style>
  <w:style w:type="paragraph" w:styleId="878">
    <w:name w:val="toc 4"/>
    <w:basedOn w:val="886"/>
    <w:next w:val="886"/>
    <w:uiPriority w:val="39"/>
    <w:unhideWhenUsed/>
    <w:pPr>
      <w:ind w:left="850" w:right="0" w:firstLine="0"/>
      <w:spacing w:after="57"/>
    </w:pPr>
  </w:style>
  <w:style w:type="paragraph" w:styleId="879">
    <w:name w:val="toc 5"/>
    <w:basedOn w:val="886"/>
    <w:next w:val="886"/>
    <w:uiPriority w:val="39"/>
    <w:unhideWhenUsed/>
    <w:pPr>
      <w:ind w:left="1134" w:right="0" w:firstLine="0"/>
      <w:spacing w:after="57"/>
    </w:pPr>
  </w:style>
  <w:style w:type="paragraph" w:styleId="880">
    <w:name w:val="toc 6"/>
    <w:basedOn w:val="886"/>
    <w:next w:val="886"/>
    <w:uiPriority w:val="39"/>
    <w:unhideWhenUsed/>
    <w:pPr>
      <w:ind w:left="1417" w:right="0" w:firstLine="0"/>
      <w:spacing w:after="57"/>
    </w:pPr>
  </w:style>
  <w:style w:type="paragraph" w:styleId="881">
    <w:name w:val="toc 7"/>
    <w:basedOn w:val="886"/>
    <w:next w:val="886"/>
    <w:uiPriority w:val="39"/>
    <w:unhideWhenUsed/>
    <w:pPr>
      <w:ind w:left="1701" w:right="0" w:firstLine="0"/>
      <w:spacing w:after="57"/>
    </w:pPr>
  </w:style>
  <w:style w:type="paragraph" w:styleId="882">
    <w:name w:val="toc 8"/>
    <w:basedOn w:val="886"/>
    <w:next w:val="886"/>
    <w:uiPriority w:val="39"/>
    <w:unhideWhenUsed/>
    <w:pPr>
      <w:ind w:left="1984" w:right="0" w:firstLine="0"/>
      <w:spacing w:after="57"/>
    </w:pPr>
  </w:style>
  <w:style w:type="paragraph" w:styleId="883">
    <w:name w:val="toc 9"/>
    <w:basedOn w:val="886"/>
    <w:next w:val="886"/>
    <w:uiPriority w:val="39"/>
    <w:unhideWhenUsed/>
    <w:pPr>
      <w:ind w:left="2268" w:right="0" w:firstLine="0"/>
      <w:spacing w:after="57"/>
    </w:pPr>
  </w:style>
  <w:style w:type="paragraph" w:styleId="884">
    <w:name w:val="TOC Heading"/>
    <w:uiPriority w:val="39"/>
    <w:unhideWhenUsed/>
  </w:style>
  <w:style w:type="paragraph" w:styleId="885">
    <w:name w:val="table of figures"/>
    <w:basedOn w:val="886"/>
    <w:next w:val="886"/>
    <w:uiPriority w:val="99"/>
    <w:unhideWhenUsed/>
    <w:pPr>
      <w:spacing w:after="0" w:afterAutospacing="0"/>
    </w:pPr>
  </w:style>
  <w:style w:type="paragraph" w:styleId="886" w:default="1">
    <w:name w:val="Normal"/>
    <w:next w:val="886"/>
    <w:link w:val="886"/>
    <w:qFormat/>
    <w:rPr>
      <w:sz w:val="22"/>
      <w:lang w:val="ru-RU" w:eastAsia="ru-RU" w:bidi="ar-SA"/>
    </w:rPr>
  </w:style>
  <w:style w:type="paragraph" w:styleId="887">
    <w:name w:val="Заголовок 1"/>
    <w:basedOn w:val="886"/>
    <w:next w:val="886"/>
    <w:link w:val="886"/>
    <w:qFormat/>
    <w:pPr>
      <w:jc w:val="center"/>
      <w:keepNext/>
      <w:outlineLvl w:val="0"/>
    </w:pPr>
    <w:rPr>
      <w:b/>
      <w:sz w:val="24"/>
    </w:rPr>
  </w:style>
  <w:style w:type="paragraph" w:styleId="888">
    <w:name w:val="Заголовок 2"/>
    <w:basedOn w:val="886"/>
    <w:next w:val="886"/>
    <w:link w:val="886"/>
    <w:qFormat/>
    <w:pPr>
      <w:jc w:val="center"/>
      <w:keepNext/>
      <w:outlineLvl w:val="1"/>
    </w:pPr>
    <w:rPr>
      <w:b/>
      <w:sz w:val="28"/>
    </w:rPr>
  </w:style>
  <w:style w:type="paragraph" w:styleId="889">
    <w:name w:val="Заголовок 3"/>
    <w:basedOn w:val="886"/>
    <w:next w:val="886"/>
    <w:link w:val="886"/>
    <w:qFormat/>
    <w:pPr>
      <w:ind w:left="720"/>
      <w:keepNext/>
      <w:outlineLvl w:val="2"/>
    </w:pPr>
    <w:rPr>
      <w:b/>
      <w:sz w:val="24"/>
    </w:rPr>
  </w:style>
  <w:style w:type="paragraph" w:styleId="890">
    <w:name w:val="Заголовок 6"/>
    <w:basedOn w:val="886"/>
    <w:next w:val="886"/>
    <w:link w:val="886"/>
    <w:qFormat/>
    <w:pPr>
      <w:spacing w:before="240" w:after="60"/>
      <w:outlineLvl w:val="5"/>
    </w:pPr>
    <w:rPr>
      <w:b/>
      <w:bCs/>
      <w:szCs w:val="22"/>
    </w:rPr>
  </w:style>
  <w:style w:type="paragraph" w:styleId="891">
    <w:name w:val="Заголовок 7"/>
    <w:basedOn w:val="886"/>
    <w:next w:val="886"/>
    <w:link w:val="886"/>
    <w:qFormat/>
    <w:pPr>
      <w:spacing w:before="240" w:after="60"/>
      <w:outlineLvl w:val="6"/>
    </w:pPr>
    <w:rPr>
      <w:sz w:val="24"/>
      <w:szCs w:val="24"/>
    </w:rPr>
  </w:style>
  <w:style w:type="character" w:styleId="892">
    <w:name w:val="Основной шрифт абзаца"/>
    <w:next w:val="892"/>
    <w:link w:val="886"/>
    <w:semiHidden/>
  </w:style>
  <w:style w:type="table" w:styleId="893">
    <w:name w:val="Обычная таблица"/>
    <w:next w:val="893"/>
    <w:link w:val="886"/>
    <w:semiHidden/>
    <w:tblPr/>
  </w:style>
  <w:style w:type="numbering" w:styleId="894">
    <w:name w:val="Нет списка"/>
    <w:next w:val="894"/>
    <w:link w:val="886"/>
    <w:semiHidden/>
  </w:style>
  <w:style w:type="paragraph" w:styleId="895">
    <w:name w:val="Основной текст"/>
    <w:basedOn w:val="886"/>
    <w:next w:val="895"/>
    <w:link w:val="886"/>
    <w:pPr>
      <w:jc w:val="both"/>
    </w:pPr>
  </w:style>
  <w:style w:type="paragraph" w:styleId="896">
    <w:name w:val="Текст выноски"/>
    <w:basedOn w:val="886"/>
    <w:next w:val="896"/>
    <w:link w:val="886"/>
    <w:semiHidden/>
    <w:rPr>
      <w:rFonts w:ascii="Tahoma" w:hAnsi="Tahoma" w:cs="Tahoma"/>
      <w:sz w:val="16"/>
      <w:szCs w:val="16"/>
    </w:rPr>
  </w:style>
  <w:style w:type="table" w:styleId="897">
    <w:name w:val="Сетка таблицы"/>
    <w:basedOn w:val="893"/>
    <w:next w:val="897"/>
    <w:link w:val="886"/>
    <w:tblPr/>
  </w:style>
  <w:style w:type="paragraph" w:styleId="898">
    <w:name w:val="ConsPlusNonformat"/>
    <w:next w:val="898"/>
    <w:link w:val="886"/>
    <w:pPr>
      <w:widowControl w:val="off"/>
    </w:pPr>
    <w:rPr>
      <w:rFonts w:ascii="Courier New" w:hAnsi="Courier New" w:eastAsia="Arial" w:cs="Courier New"/>
      <w:lang w:val="ru-RU" w:eastAsia="ar-SA" w:bidi="ar-SA"/>
    </w:rPr>
  </w:style>
  <w:style w:type="paragraph" w:styleId="899">
    <w:name w:val="Основной текст 2"/>
    <w:basedOn w:val="886"/>
    <w:next w:val="899"/>
    <w:link w:val="886"/>
    <w:pPr>
      <w:spacing w:after="120" w:line="480" w:lineRule="auto"/>
    </w:pPr>
  </w:style>
  <w:style w:type="paragraph" w:styleId="900">
    <w:name w:val="ConsPlusNormal"/>
    <w:next w:val="900"/>
    <w:link w:val="886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paragraph" w:styleId="901">
    <w:name w:val="Обычный (веб)"/>
    <w:basedOn w:val="886"/>
    <w:next w:val="901"/>
    <w:link w:val="886"/>
    <w:pPr>
      <w:spacing w:after="144"/>
    </w:pPr>
    <w:rPr>
      <w:rFonts w:eastAsia="Calibri"/>
      <w:sz w:val="24"/>
      <w:szCs w:val="24"/>
    </w:rPr>
  </w:style>
  <w:style w:type="character" w:styleId="902">
    <w:name w:val="Гиперссылка"/>
    <w:basedOn w:val="892"/>
    <w:next w:val="902"/>
    <w:link w:val="886"/>
    <w:rPr>
      <w:color w:val="0000ff"/>
      <w:u w:val="single"/>
    </w:rPr>
  </w:style>
  <w:style w:type="paragraph" w:styleId="903">
    <w:name w:val="Основной текст с отступом"/>
    <w:basedOn w:val="886"/>
    <w:next w:val="903"/>
    <w:link w:val="886"/>
    <w:pPr>
      <w:ind w:left="283"/>
      <w:spacing w:after="120"/>
    </w:pPr>
  </w:style>
  <w:style w:type="character" w:styleId="904" w:default="1">
    <w:name w:val="Default Paragraph Font"/>
    <w:uiPriority w:val="1"/>
    <w:semiHidden/>
    <w:unhideWhenUsed/>
  </w:style>
  <w:style w:type="numbering" w:styleId="905" w:default="1">
    <w:name w:val="No List"/>
    <w:uiPriority w:val="99"/>
    <w:semiHidden/>
    <w:unhideWhenUsed/>
  </w:style>
  <w:style w:type="table" w:styleId="906" w:default="1">
    <w:name w:val="Normal Table"/>
    <w:uiPriority w:val="99"/>
    <w:semiHidden/>
    <w:unhideWhenUsed/>
    <w:tblPr/>
  </w:style>
  <w:style w:type="paragraph" w:styleId="907" w:customStyle="1">
    <w:name w:val="Абзац списка"/>
    <w:basedOn w:val="876"/>
    <w:link w:val="876"/>
    <w:uiPriority w:val="34"/>
    <w:qFormat/>
    <w:pPr>
      <w:contextualSpacing/>
      <w:ind w:left="72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Home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Юрий</dc:creator>
  <cp:revision>8</cp:revision>
  <dcterms:created xsi:type="dcterms:W3CDTF">2022-03-31T01:17:00Z</dcterms:created>
  <dcterms:modified xsi:type="dcterms:W3CDTF">2025-05-26T05:24:03Z</dcterms:modified>
  <cp:version>786432</cp:version>
</cp:coreProperties>
</file>