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Российская Федерация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5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Иркутская область 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5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Муниципальное образование «Тайшетский район»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5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Тайшетское муниципальное образование 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«Тайшетское городское поселение»</w:t>
      </w:r>
      <w:r>
        <w:rPr>
          <w:b/>
          <w:bCs/>
        </w:rPr>
      </w:r>
      <w:r>
        <w:rPr>
          <w:b/>
          <w:bCs/>
          <w:sz w:val="24"/>
          <w:szCs w:val="24"/>
        </w:rPr>
      </w:r>
    </w:p>
    <w:p>
      <w:pPr>
        <w:pStyle w:val="85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ТАЙШЕТСКОГО ГОРОДСКОГО ПОСЕЛЕНИЯ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51"/>
        <w:rPr>
          <w:b w:val="0"/>
          <w:bCs w:val="0"/>
        </w:rPr>
      </w:pPr>
      <w:r>
        <w:rPr>
          <w:b w:val="0"/>
          <w:bCs w:val="0"/>
          <w:szCs w:val="24"/>
          <w:highlight w:val="none"/>
        </w:rPr>
      </w:r>
      <w:r>
        <w:rPr>
          <w:b w:val="0"/>
          <w:bCs w:val="0"/>
          <w:szCs w:val="24"/>
          <w:highlight w:val="none"/>
        </w:rPr>
      </w:r>
      <w:r>
        <w:rPr>
          <w:b w:val="0"/>
          <w:bCs w:val="0"/>
        </w:rPr>
      </w:r>
    </w:p>
    <w:p>
      <w:pPr>
        <w:pStyle w:val="851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  <w:t xml:space="preserve">П О С Т А Н О В Л Е Н И Е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pStyle w:val="850"/>
        <w:rPr>
          <w:b w:val="0"/>
          <w:bCs w:val="0"/>
          <w:sz w:val="16"/>
          <w:szCs w:val="16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16"/>
          <w:szCs w:val="16"/>
        </w:rPr>
      </w:r>
      <w:r>
        <w:rPr>
          <w:b w:val="0"/>
          <w:bCs w:val="0"/>
          <w:sz w:val="16"/>
          <w:szCs w:val="16"/>
        </w:rPr>
      </w:r>
    </w:p>
    <w:p>
      <w:pPr>
        <w:pStyle w:val="85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27.</w:t>
      </w:r>
      <w:r>
        <w:rPr>
          <w:b w:val="0"/>
          <w:bCs w:val="0"/>
          <w:sz w:val="24"/>
          <w:szCs w:val="24"/>
        </w:rPr>
        <w:t xml:space="preserve">05</w:t>
      </w:r>
      <w:r>
        <w:rPr>
          <w:b w:val="0"/>
          <w:bCs w:val="0"/>
          <w:sz w:val="24"/>
          <w:szCs w:val="24"/>
        </w:rPr>
        <w:t xml:space="preserve">.2025</w:t>
      </w:r>
      <w:r>
        <w:rPr>
          <w:b w:val="0"/>
          <w:bCs w:val="0"/>
          <w:sz w:val="24"/>
          <w:szCs w:val="24"/>
        </w:rPr>
        <w:t xml:space="preserve">г.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b w:val="0"/>
          <w:bCs w:val="0"/>
          <w:sz w:val="24"/>
          <w:szCs w:val="24"/>
        </w:rPr>
        <w:t xml:space="preserve">427</w:t>
      </w:r>
      <w:r>
        <w:rPr>
          <w:b w:val="0"/>
          <w:bCs w:val="0"/>
          <w:sz w:val="24"/>
          <w:szCs w:val="24"/>
        </w:rPr>
      </w:r>
    </w:p>
    <w:p>
      <w:pPr>
        <w:pStyle w:val="850"/>
        <w:ind w:right="-186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50"/>
        <w:ind w:right="4989"/>
        <w:jc w:val="both"/>
        <w:rPr>
          <w:b w:val="0"/>
          <w:bCs w:val="0"/>
          <w:sz w:val="24"/>
          <w:szCs w:val="24"/>
          <w:highlight w:val="none"/>
        </w:rPr>
        <w:suppressLineNumbers w:val="0"/>
      </w:pPr>
      <w:r>
        <w:rPr>
          <w:b w:val="0"/>
          <w:bCs w:val="0"/>
          <w:sz w:val="24"/>
          <w:szCs w:val="24"/>
        </w:rPr>
        <w:t xml:space="preserve">О прекращении</w:t>
      </w:r>
      <w:r>
        <w:rPr>
          <w:b w:val="0"/>
          <w:bCs w:val="0"/>
          <w:sz w:val="24"/>
          <w:szCs w:val="24"/>
        </w:rPr>
        <w:t xml:space="preserve"> публичного сервитута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right="4989"/>
        <w:jc w:val="both"/>
        <w:rPr>
          <w:b w:val="0"/>
          <w:bCs w:val="0"/>
          <w:sz w:val="16"/>
          <w:szCs w:val="16"/>
        </w:rPr>
        <w:suppressLineNumbers w:val="0"/>
      </w:pPr>
      <w:r>
        <w:rPr>
          <w:b w:val="0"/>
          <w:bCs w:val="0"/>
          <w:sz w:val="16"/>
          <w:szCs w:val="16"/>
          <w:highlight w:val="none"/>
        </w:rPr>
      </w:r>
      <w:r>
        <w:rPr>
          <w:b w:val="0"/>
          <w:bCs w:val="0"/>
          <w:sz w:val="16"/>
          <w:szCs w:val="16"/>
        </w:rPr>
      </w:r>
    </w:p>
    <w:p>
      <w:pPr>
        <w:pStyle w:val="850"/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Рассмотрев материалы</w:t>
      </w:r>
      <w:r>
        <w:rPr>
          <w:b w:val="0"/>
          <w:bCs w:val="0"/>
          <w:sz w:val="24"/>
          <w:szCs w:val="24"/>
        </w:rPr>
        <w:t xml:space="preserve">,</w:t>
      </w:r>
      <w:r>
        <w:rPr>
          <w:b w:val="0"/>
          <w:bCs w:val="0"/>
          <w:sz w:val="24"/>
          <w:szCs w:val="24"/>
        </w:rPr>
        <w:t xml:space="preserve"> представленные отделом по управлению муниципальным имуществом администрации Тайшетского городского поселения, заявление </w:t>
      </w:r>
      <w:r>
        <w:rPr>
          <w:b w:val="0"/>
          <w:bCs w:val="0"/>
          <w:sz w:val="24"/>
          <w:szCs w:val="24"/>
        </w:rPr>
        <w:t xml:space="preserve">Акционерного общества «</w:t>
      </w:r>
      <w:r>
        <w:rPr>
          <w:b w:val="0"/>
          <w:bCs w:val="0"/>
          <w:sz w:val="24"/>
          <w:szCs w:val="24"/>
        </w:rPr>
        <w:t xml:space="preserve">Иркутская электросетевая компания</w:t>
      </w:r>
      <w:r>
        <w:rPr>
          <w:b w:val="0"/>
          <w:bCs w:val="0"/>
          <w:sz w:val="24"/>
          <w:szCs w:val="24"/>
        </w:rPr>
        <w:t xml:space="preserve">»</w:t>
      </w:r>
      <w:r>
        <w:rPr>
          <w:b w:val="0"/>
          <w:bCs w:val="0"/>
          <w:sz w:val="24"/>
          <w:szCs w:val="24"/>
        </w:rPr>
        <w:t xml:space="preserve"> (ИНН 3812122706, ОГРН 1093850013762) </w:t>
      </w:r>
      <w:r>
        <w:rPr>
          <w:b w:val="0"/>
          <w:bCs w:val="0"/>
          <w:sz w:val="24"/>
          <w:szCs w:val="24"/>
        </w:rPr>
        <w:t xml:space="preserve">о прекращении публичного сервитута</w:t>
      </w:r>
      <w:r>
        <w:rPr>
          <w:b w:val="0"/>
          <w:bCs w:val="0"/>
          <w:sz w:val="24"/>
          <w:szCs w:val="24"/>
        </w:rPr>
        <w:t xml:space="preserve"> от </w:t>
      </w:r>
      <w:r>
        <w:rPr>
          <w:b w:val="0"/>
          <w:bCs w:val="0"/>
          <w:sz w:val="24"/>
          <w:szCs w:val="24"/>
        </w:rPr>
        <w:t xml:space="preserve">06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марта</w:t>
      </w:r>
      <w:r>
        <w:rPr>
          <w:b w:val="0"/>
          <w:bCs w:val="0"/>
          <w:sz w:val="24"/>
          <w:szCs w:val="24"/>
        </w:rPr>
        <w:t xml:space="preserve"> 202</w:t>
      </w:r>
      <w:r>
        <w:rPr>
          <w:b w:val="0"/>
          <w:bCs w:val="0"/>
          <w:sz w:val="24"/>
          <w:szCs w:val="24"/>
        </w:rPr>
        <w:t xml:space="preserve">5 года №01(38-28/30)-1504/25</w:t>
      </w:r>
      <w:r>
        <w:rPr>
          <w:b w:val="0"/>
          <w:bCs w:val="0"/>
          <w:sz w:val="24"/>
          <w:szCs w:val="24"/>
        </w:rPr>
        <w:t xml:space="preserve">,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р</w:t>
      </w:r>
      <w:r>
        <w:rPr>
          <w:b w:val="0"/>
          <w:bCs w:val="0"/>
          <w:sz w:val="24"/>
          <w:szCs w:val="24"/>
        </w:rPr>
        <w:t xml:space="preserve">уководствуясь статьями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5, 7, </w:t>
      </w:r>
      <w:r>
        <w:rPr>
          <w:b w:val="0"/>
          <w:bCs w:val="0"/>
          <w:sz w:val="24"/>
          <w:szCs w:val="24"/>
        </w:rPr>
        <w:t xml:space="preserve">11, 23, 48 главой </w:t>
      </w:r>
      <w:r>
        <w:rPr>
          <w:b w:val="0"/>
          <w:bCs w:val="0"/>
          <w:sz w:val="24"/>
          <w:szCs w:val="24"/>
          <w:lang w:val="en-US"/>
        </w:rPr>
        <w:t xml:space="preserve">V</w:t>
      </w:r>
      <w:r>
        <w:rPr>
          <w:b w:val="0"/>
          <w:bCs w:val="0"/>
          <w:sz w:val="24"/>
          <w:szCs w:val="24"/>
        </w:rPr>
        <w:t xml:space="preserve">.7 Земельного кодекса Российской Федерации, Федеральным законом от 25 октября 2001 года № 137-ФЗ </w:t>
      </w:r>
      <w:r>
        <w:rPr>
          <w:b w:val="0"/>
          <w:bCs w:val="0"/>
          <w:sz w:val="24"/>
          <w:szCs w:val="24"/>
        </w:rPr>
        <w:t xml:space="preserve">«</w:t>
      </w:r>
      <w:r>
        <w:rPr>
          <w:b w:val="0"/>
          <w:bCs w:val="0"/>
          <w:sz w:val="24"/>
          <w:szCs w:val="24"/>
        </w:rPr>
        <w:t xml:space="preserve">О введении в действие Земельного кодекса Российской Федерации</w:t>
      </w:r>
      <w:r>
        <w:rPr>
          <w:b w:val="0"/>
          <w:bCs w:val="0"/>
          <w:sz w:val="24"/>
          <w:szCs w:val="24"/>
        </w:rPr>
        <w:t xml:space="preserve">"</w:t>
      </w:r>
      <w:r>
        <w:rPr>
          <w:b w:val="0"/>
          <w:bCs w:val="0"/>
          <w:sz w:val="24"/>
          <w:szCs w:val="24"/>
        </w:rPr>
        <w:t xml:space="preserve">, Федеральным </w:t>
      </w:r>
      <w:r>
        <w:rPr>
          <w:b w:val="0"/>
          <w:bCs w:val="0"/>
          <w:sz w:val="24"/>
          <w:szCs w:val="24"/>
        </w:rPr>
        <w:t xml:space="preserve">законом от 06</w:t>
      </w:r>
      <w:r>
        <w:rPr>
          <w:b w:val="0"/>
          <w:bCs w:val="0"/>
          <w:sz w:val="24"/>
          <w:szCs w:val="24"/>
        </w:rPr>
        <w:t xml:space="preserve"> октября </w:t>
      </w:r>
      <w:r>
        <w:rPr>
          <w:b w:val="0"/>
          <w:bCs w:val="0"/>
          <w:sz w:val="24"/>
          <w:szCs w:val="24"/>
        </w:rPr>
        <w:t xml:space="preserve">2003</w:t>
      </w:r>
      <w:r>
        <w:rPr>
          <w:b w:val="0"/>
          <w:bCs w:val="0"/>
          <w:sz w:val="24"/>
          <w:szCs w:val="24"/>
        </w:rPr>
        <w:t xml:space="preserve"> года</w:t>
      </w:r>
      <w:r>
        <w:rPr>
          <w:b w:val="0"/>
          <w:bCs w:val="0"/>
          <w:sz w:val="24"/>
          <w:szCs w:val="24"/>
        </w:rPr>
        <w:t xml:space="preserve"> №131-ФЗ «О</w:t>
      </w:r>
      <w:r>
        <w:rPr>
          <w:b w:val="0"/>
          <w:bCs w:val="0"/>
          <w:sz w:val="24"/>
          <w:szCs w:val="24"/>
        </w:rPr>
        <w:t xml:space="preserve">б общих принципах организации местного самоуправления в Российской Федерации,</w:t>
      </w:r>
      <w:r>
        <w:rPr>
          <w:b w:val="0"/>
          <w:bCs w:val="0"/>
          <w:sz w:val="24"/>
          <w:szCs w:val="24"/>
        </w:rPr>
        <w:t xml:space="preserve"> Уставом Тайшетского муниципального образования «Тайшетское городское поселение», </w:t>
      </w:r>
      <w:r>
        <w:rPr>
          <w:b w:val="0"/>
          <w:bCs w:val="0"/>
          <w:sz w:val="24"/>
          <w:szCs w:val="24"/>
        </w:rPr>
        <w:t xml:space="preserve">администрация Тайшетского городского поселения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50"/>
        <w:ind w:right="0" w:firstLine="0"/>
        <w:jc w:val="both"/>
        <w:rPr>
          <w:b w:val="0"/>
          <w:bCs w:val="0"/>
          <w:sz w:val="16"/>
          <w:szCs w:val="16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16"/>
          <w:szCs w:val="16"/>
        </w:rPr>
      </w:r>
      <w:r>
        <w:rPr>
          <w:b w:val="0"/>
          <w:bCs w:val="0"/>
          <w:sz w:val="16"/>
          <w:szCs w:val="16"/>
        </w:rPr>
      </w:r>
    </w:p>
    <w:p>
      <w:pPr>
        <w:pStyle w:val="850"/>
        <w:ind w:right="0" w:firstLine="0"/>
        <w:jc w:val="both"/>
        <w:rPr>
          <w:b/>
          <w:sz w:val="28"/>
          <w:szCs w:val="28"/>
        </w:rPr>
        <w:suppressLineNumbers w:val="0"/>
      </w:pPr>
      <w:r>
        <w:rPr>
          <w:b/>
          <w:sz w:val="28"/>
          <w:szCs w:val="28"/>
        </w:rPr>
        <w:t xml:space="preserve">П О С Т А Н О В Л Я Е Т: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50"/>
        <w:ind w:right="0" w:firstLine="0"/>
        <w:jc w:val="both"/>
        <w:rPr>
          <w:b w:val="0"/>
          <w:bCs w:val="0"/>
          <w:sz w:val="16"/>
          <w:szCs w:val="16"/>
        </w:rPr>
        <w:suppressLineNumbers w:val="0"/>
      </w:pPr>
      <w:r>
        <w:rPr>
          <w:b w:val="0"/>
          <w:bCs w:val="0"/>
          <w:sz w:val="16"/>
          <w:szCs w:val="16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16"/>
          <w:szCs w:val="16"/>
        </w:rPr>
      </w:r>
    </w:p>
    <w:p>
      <w:pPr>
        <w:pStyle w:val="850"/>
        <w:ind w:right="0" w:firstLine="720"/>
        <w:jc w:val="both"/>
        <w:rPr>
          <w:rStyle w:val="858"/>
          <w:sz w:val="24"/>
          <w:szCs w:val="24"/>
        </w:rPr>
        <w:suppressLineNumbers w:val="0"/>
      </w:pPr>
      <w:r>
        <w:rPr>
          <w:rStyle w:val="858"/>
          <w:sz w:val="24"/>
          <w:szCs w:val="24"/>
        </w:rPr>
        <w:t xml:space="preserve">1. Прекратить публичный сервитут</w:t>
      </w:r>
      <w:r>
        <w:rPr>
          <w:color w:val="auto"/>
          <w:sz w:val="24"/>
          <w:szCs w:val="24"/>
          <w:lang w:bidi="ru-RU"/>
        </w:rPr>
        <w:t xml:space="preserve">,</w:t>
      </w:r>
      <w:r>
        <w:rPr>
          <w:color w:val="000000"/>
          <w:sz w:val="24"/>
          <w:szCs w:val="24"/>
          <w:lang w:bidi="ru-RU"/>
        </w:rPr>
        <w:t xml:space="preserve"> </w:t>
      </w:r>
      <w:r>
        <w:rPr>
          <w:color w:val="000000"/>
          <w:sz w:val="24"/>
          <w:szCs w:val="24"/>
          <w:lang w:bidi="ru-RU"/>
        </w:rPr>
        <w:t xml:space="preserve">для строительства</w:t>
      </w:r>
      <w:r>
        <w:rPr>
          <w:color w:val="000000"/>
          <w:sz w:val="24"/>
          <w:szCs w:val="24"/>
          <w:lang w:bidi="ru-RU"/>
        </w:rPr>
        <w:t xml:space="preserve"> и </w:t>
      </w:r>
      <w:r>
        <w:rPr>
          <w:color w:val="000000"/>
          <w:sz w:val="24"/>
          <w:szCs w:val="24"/>
          <w:lang w:bidi="ru-RU"/>
        </w:rPr>
        <w:t xml:space="preserve">эксплуатации</w:t>
      </w:r>
      <w:r>
        <w:rPr>
          <w:color w:val="000000"/>
          <w:sz w:val="24"/>
          <w:szCs w:val="24"/>
          <w:lang w:bidi="ru-RU"/>
        </w:rPr>
        <w:t xml:space="preserve"> линейного объекта: «Электрические сети 10/0,4кВ Детский сад на 250 мест»</w:t>
      </w:r>
      <w:r>
        <w:rPr>
          <w:rStyle w:val="858"/>
          <w:sz w:val="24"/>
          <w:szCs w:val="24"/>
        </w:rPr>
        <w:t xml:space="preserve">, установленный постановлением администрации Тайшетского городского поселения от 17 апреля 2023 года №348 «Об установлении публичного сервитута» </w:t>
      </w:r>
      <w:r>
        <w:rPr>
          <w:rStyle w:val="858"/>
          <w:sz w:val="24"/>
          <w:szCs w:val="24"/>
        </w:rPr>
        <w:t xml:space="preserve">в отношении следующих земельных участков:</w:t>
      </w:r>
      <w:r>
        <w:rPr>
          <w:rStyle w:val="858"/>
          <w:sz w:val="24"/>
          <w:szCs w:val="24"/>
        </w:rPr>
      </w:r>
      <w:r>
        <w:rPr>
          <w:rStyle w:val="858"/>
          <w:sz w:val="24"/>
          <w:szCs w:val="24"/>
        </w:rPr>
      </w:r>
    </w:p>
    <w:p>
      <w:pPr>
        <w:pStyle w:val="850"/>
        <w:ind w:right="0" w:firstLine="720"/>
        <w:jc w:val="both"/>
        <w:rPr>
          <w:rStyle w:val="858"/>
          <w:sz w:val="24"/>
          <w:szCs w:val="24"/>
        </w:rPr>
        <w:suppressLineNumbers w:val="0"/>
      </w:pPr>
      <w:r>
        <w:rPr>
          <w:rStyle w:val="858"/>
          <w:sz w:val="24"/>
          <w:szCs w:val="24"/>
        </w:rPr>
        <w:t xml:space="preserve">1.1.</w:t>
      </w:r>
      <w:r>
        <w:rPr>
          <w:rStyle w:val="858"/>
          <w:sz w:val="24"/>
          <w:szCs w:val="24"/>
        </w:rPr>
        <w:t xml:space="preserve"> </w:t>
      </w:r>
      <w:r>
        <w:rPr>
          <w:rStyle w:val="858"/>
          <w:sz w:val="24"/>
          <w:szCs w:val="24"/>
        </w:rPr>
        <w:t xml:space="preserve">части </w:t>
      </w:r>
      <w:r>
        <w:rPr>
          <w:rStyle w:val="858"/>
          <w:sz w:val="24"/>
          <w:szCs w:val="24"/>
        </w:rPr>
        <w:t xml:space="preserve">земельного участка из земель </w:t>
      </w:r>
      <w:r>
        <w:rPr>
          <w:rStyle w:val="858"/>
          <w:sz w:val="24"/>
          <w:szCs w:val="24"/>
        </w:rPr>
        <w:t xml:space="preserve">населенных пунктов</w:t>
      </w:r>
      <w:r>
        <w:rPr>
          <w:rStyle w:val="858"/>
          <w:sz w:val="24"/>
          <w:szCs w:val="24"/>
        </w:rPr>
        <w:t xml:space="preserve"> государственная собственность на который не разграничена</w:t>
      </w:r>
      <w:r>
        <w:rPr>
          <w:rStyle w:val="858"/>
          <w:sz w:val="24"/>
          <w:szCs w:val="24"/>
        </w:rPr>
        <w:t xml:space="preserve">,</w:t>
      </w:r>
      <w:r>
        <w:rPr>
          <w:rStyle w:val="858"/>
          <w:sz w:val="24"/>
          <w:szCs w:val="24"/>
        </w:rPr>
        <w:t xml:space="preserve"> площадью </w:t>
      </w:r>
      <w:r>
        <w:rPr>
          <w:rStyle w:val="858"/>
          <w:sz w:val="24"/>
          <w:szCs w:val="24"/>
        </w:rPr>
        <w:t xml:space="preserve">32960</w:t>
      </w:r>
      <w:r>
        <w:rPr>
          <w:rStyle w:val="858"/>
          <w:sz w:val="24"/>
          <w:szCs w:val="24"/>
        </w:rPr>
        <w:t xml:space="preserve"> м</w:t>
      </w:r>
      <w:r>
        <w:rPr>
          <w:rStyle w:val="858"/>
          <w:sz w:val="24"/>
          <w:szCs w:val="24"/>
          <w:vertAlign w:val="superscript"/>
        </w:rPr>
        <w:t xml:space="preserve">2</w:t>
      </w:r>
      <w:r>
        <w:rPr>
          <w:rStyle w:val="858"/>
          <w:sz w:val="24"/>
          <w:szCs w:val="24"/>
        </w:rPr>
        <w:t xml:space="preserve">, расположенного в границах</w:t>
      </w:r>
      <w:r>
        <w:rPr>
          <w:rStyle w:val="858"/>
          <w:sz w:val="24"/>
          <w:szCs w:val="24"/>
        </w:rPr>
        <w:t xml:space="preserve"> </w:t>
      </w:r>
      <w:r>
        <w:rPr>
          <w:rStyle w:val="858"/>
          <w:sz w:val="24"/>
          <w:szCs w:val="24"/>
        </w:rPr>
        <w:t xml:space="preserve">с </w:t>
      </w:r>
      <w:r>
        <w:rPr>
          <w:rStyle w:val="858"/>
          <w:sz w:val="24"/>
          <w:szCs w:val="24"/>
        </w:rPr>
        <w:t xml:space="preserve">кадастров</w:t>
      </w:r>
      <w:r>
        <w:rPr>
          <w:rStyle w:val="858"/>
          <w:sz w:val="24"/>
          <w:szCs w:val="24"/>
        </w:rPr>
        <w:t xml:space="preserve">ым</w:t>
      </w:r>
      <w:r>
        <w:rPr>
          <w:rStyle w:val="858"/>
          <w:sz w:val="24"/>
          <w:szCs w:val="24"/>
        </w:rPr>
        <w:t xml:space="preserve"> </w:t>
      </w:r>
      <w:r>
        <w:rPr>
          <w:rStyle w:val="858"/>
          <w:sz w:val="24"/>
          <w:szCs w:val="24"/>
        </w:rPr>
        <w:t xml:space="preserve">кварталом </w:t>
      </w:r>
      <w:r>
        <w:rPr>
          <w:rStyle w:val="858"/>
          <w:sz w:val="24"/>
          <w:szCs w:val="24"/>
        </w:rPr>
        <w:t xml:space="preserve">38:29:</w:t>
      </w:r>
      <w:r>
        <w:rPr>
          <w:rStyle w:val="858"/>
          <w:sz w:val="24"/>
          <w:szCs w:val="24"/>
        </w:rPr>
        <w:t xml:space="preserve">000000</w:t>
      </w:r>
      <w:r>
        <w:rPr>
          <w:rStyle w:val="858"/>
          <w:sz w:val="24"/>
          <w:szCs w:val="24"/>
        </w:rPr>
        <w:t xml:space="preserve">:ЗУ1</w:t>
      </w:r>
      <w:r>
        <w:rPr>
          <w:rStyle w:val="858"/>
          <w:sz w:val="24"/>
          <w:szCs w:val="24"/>
        </w:rPr>
        <w:t xml:space="preserve">,</w:t>
      </w:r>
      <w:r>
        <w:rPr>
          <w:rStyle w:val="858"/>
          <w:sz w:val="24"/>
          <w:szCs w:val="24"/>
        </w:rPr>
        <w:t xml:space="preserve"> </w:t>
      </w:r>
      <w:r>
        <w:rPr>
          <w:rStyle w:val="858"/>
          <w:sz w:val="24"/>
          <w:szCs w:val="24"/>
        </w:rPr>
        <w:t xml:space="preserve">имеющего местоположение:</w:t>
      </w:r>
      <w:r>
        <w:rPr>
          <w:color w:val="000000"/>
          <w:sz w:val="24"/>
          <w:szCs w:val="24"/>
          <w:lang w:bidi="ru-RU"/>
        </w:rPr>
        <w:t xml:space="preserve"> Российская Федерация, </w:t>
      </w:r>
      <w:r>
        <w:rPr>
          <w:sz w:val="24"/>
          <w:szCs w:val="24"/>
        </w:rPr>
        <w:t xml:space="preserve">Иркутская область, Тайшетский район, Тайшетского городское поселение, город Тайшет</w:t>
      </w:r>
      <w:r>
        <w:rPr>
          <w:sz w:val="24"/>
          <w:szCs w:val="24"/>
        </w:rPr>
        <w:t xml:space="preserve">;</w:t>
      </w:r>
      <w:r>
        <w:rPr>
          <w:rStyle w:val="858"/>
          <w:sz w:val="24"/>
          <w:szCs w:val="24"/>
        </w:rPr>
      </w:r>
      <w:r>
        <w:rPr>
          <w:rStyle w:val="858"/>
          <w:sz w:val="24"/>
          <w:szCs w:val="24"/>
        </w:rPr>
      </w:r>
    </w:p>
    <w:p>
      <w:pPr>
        <w:pStyle w:val="850"/>
        <w:ind w:right="0" w:firstLine="720"/>
        <w:jc w:val="both"/>
        <w:rPr>
          <w:rStyle w:val="858"/>
          <w:sz w:val="24"/>
          <w:szCs w:val="24"/>
        </w:rPr>
        <w:suppressLineNumbers w:val="0"/>
      </w:pPr>
      <w:r>
        <w:rPr>
          <w:sz w:val="24"/>
          <w:szCs w:val="24"/>
        </w:rPr>
        <w:t xml:space="preserve">1.</w:t>
      </w:r>
      <w:r>
        <w:rPr>
          <w:sz w:val="24"/>
          <w:szCs w:val="24"/>
        </w:rPr>
        <w:t xml:space="preserve">2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  <w:t xml:space="preserve"> </w:t>
      </w:r>
      <w:r>
        <w:rPr>
          <w:rStyle w:val="858"/>
          <w:sz w:val="24"/>
          <w:szCs w:val="24"/>
        </w:rPr>
        <w:t xml:space="preserve">части </w:t>
      </w:r>
      <w:r>
        <w:rPr>
          <w:rStyle w:val="858"/>
          <w:sz w:val="24"/>
          <w:szCs w:val="24"/>
        </w:rPr>
        <w:t xml:space="preserve">земельного участка из земель </w:t>
      </w:r>
      <w:r>
        <w:rPr>
          <w:rStyle w:val="858"/>
          <w:sz w:val="24"/>
          <w:szCs w:val="24"/>
        </w:rPr>
        <w:t xml:space="preserve">населенных пунктов</w:t>
      </w:r>
      <w:r>
        <w:rPr>
          <w:rStyle w:val="858"/>
          <w:sz w:val="24"/>
          <w:szCs w:val="24"/>
        </w:rPr>
        <w:t xml:space="preserve">, </w:t>
      </w:r>
      <w:r>
        <w:rPr>
          <w:rStyle w:val="858"/>
          <w:sz w:val="24"/>
          <w:szCs w:val="24"/>
        </w:rPr>
        <w:t xml:space="preserve">с </w:t>
      </w:r>
      <w:r>
        <w:rPr>
          <w:rStyle w:val="858"/>
          <w:sz w:val="24"/>
          <w:szCs w:val="24"/>
        </w:rPr>
        <w:t xml:space="preserve">кадастров</w:t>
      </w:r>
      <w:r>
        <w:rPr>
          <w:rStyle w:val="858"/>
          <w:sz w:val="24"/>
          <w:szCs w:val="24"/>
        </w:rPr>
        <w:t xml:space="preserve">ым</w:t>
      </w:r>
      <w:r>
        <w:rPr>
          <w:rStyle w:val="858"/>
          <w:sz w:val="24"/>
          <w:szCs w:val="24"/>
        </w:rPr>
        <w:t xml:space="preserve"> </w:t>
      </w:r>
      <w:r>
        <w:rPr>
          <w:rStyle w:val="858"/>
          <w:sz w:val="24"/>
          <w:szCs w:val="24"/>
        </w:rPr>
        <w:t xml:space="preserve">номером</w:t>
      </w:r>
      <w:r>
        <w:rPr>
          <w:rStyle w:val="858"/>
          <w:sz w:val="24"/>
          <w:szCs w:val="24"/>
        </w:rPr>
        <w:t xml:space="preserve"> 38:29:</w:t>
      </w:r>
      <w:r>
        <w:rPr>
          <w:rStyle w:val="858"/>
          <w:sz w:val="24"/>
          <w:szCs w:val="24"/>
        </w:rPr>
        <w:t xml:space="preserve">011706</w:t>
      </w:r>
      <w:r>
        <w:rPr>
          <w:rStyle w:val="858"/>
          <w:sz w:val="24"/>
          <w:szCs w:val="24"/>
        </w:rPr>
        <w:t xml:space="preserve">:</w:t>
      </w:r>
      <w:r>
        <w:rPr>
          <w:rStyle w:val="858"/>
          <w:sz w:val="24"/>
          <w:szCs w:val="24"/>
        </w:rPr>
        <w:t xml:space="preserve">8</w:t>
      </w:r>
      <w:r>
        <w:rPr>
          <w:rStyle w:val="858"/>
          <w:sz w:val="24"/>
          <w:szCs w:val="24"/>
        </w:rPr>
        <w:t xml:space="preserve">, площадью </w:t>
      </w:r>
      <w:r>
        <w:rPr>
          <w:rStyle w:val="858"/>
          <w:sz w:val="24"/>
          <w:szCs w:val="24"/>
        </w:rPr>
        <w:t xml:space="preserve">95</w:t>
      </w:r>
      <w:r>
        <w:rPr>
          <w:rStyle w:val="858"/>
          <w:sz w:val="24"/>
          <w:szCs w:val="24"/>
        </w:rPr>
        <w:t xml:space="preserve"> м</w:t>
      </w:r>
      <w:r>
        <w:rPr>
          <w:rStyle w:val="858"/>
          <w:sz w:val="24"/>
          <w:szCs w:val="24"/>
          <w:vertAlign w:val="superscript"/>
        </w:rPr>
        <w:t xml:space="preserve">2</w:t>
      </w:r>
      <w:r>
        <w:rPr>
          <w:rStyle w:val="858"/>
          <w:sz w:val="24"/>
          <w:szCs w:val="24"/>
        </w:rPr>
        <w:t xml:space="preserve">, расположенного по адресу</w:t>
      </w:r>
      <w:r>
        <w:rPr>
          <w:rStyle w:val="858"/>
          <w:sz w:val="24"/>
          <w:szCs w:val="24"/>
        </w:rPr>
        <w:t xml:space="preserve">:</w:t>
      </w:r>
      <w:r>
        <w:rPr>
          <w:color w:val="000000"/>
          <w:sz w:val="24"/>
          <w:szCs w:val="24"/>
          <w:lang w:bidi="ru-RU"/>
        </w:rPr>
        <w:t xml:space="preserve"> </w:t>
      </w:r>
      <w:r>
        <w:rPr>
          <w:sz w:val="24"/>
          <w:szCs w:val="24"/>
        </w:rPr>
        <w:t xml:space="preserve">Иркутская область, </w:t>
      </w:r>
      <w:r>
        <w:rPr>
          <w:sz w:val="24"/>
          <w:szCs w:val="24"/>
        </w:rPr>
        <w:t xml:space="preserve">Тайшетский муниципальный район, Тайшетское городское поселение, </w:t>
      </w:r>
      <w:r>
        <w:rPr>
          <w:sz w:val="24"/>
          <w:szCs w:val="24"/>
        </w:rPr>
        <w:t xml:space="preserve">город Тайшет</w:t>
      </w:r>
      <w:r>
        <w:rPr>
          <w:sz w:val="24"/>
          <w:szCs w:val="24"/>
        </w:rPr>
        <w:t xml:space="preserve">, с видом разрешенного использования – </w:t>
      </w:r>
      <w:r>
        <w:rPr>
          <w:sz w:val="24"/>
          <w:szCs w:val="24"/>
        </w:rPr>
        <w:t xml:space="preserve">занимаемый канализационным коллектором от территории  мясокомбината до очистных сооружений</w:t>
      </w:r>
      <w:r>
        <w:rPr>
          <w:sz w:val="24"/>
          <w:szCs w:val="24"/>
        </w:rPr>
        <w:t xml:space="preserve">.</w:t>
      </w:r>
      <w:r>
        <w:rPr>
          <w:rStyle w:val="858"/>
          <w:sz w:val="24"/>
          <w:szCs w:val="24"/>
        </w:rPr>
        <w:t xml:space="preserve"> </w:t>
      </w:r>
      <w:r>
        <w:rPr>
          <w:rStyle w:val="858"/>
          <w:sz w:val="24"/>
          <w:szCs w:val="24"/>
        </w:rPr>
      </w:r>
      <w:r>
        <w:rPr>
          <w:sz w:val="24"/>
          <w:szCs w:val="24"/>
        </w:rPr>
      </w:r>
    </w:p>
    <w:p>
      <w:pPr>
        <w:pStyle w:val="859"/>
        <w:contextualSpacing/>
        <w:ind w:right="0" w:firstLine="720"/>
        <w:jc w:val="both"/>
        <w:spacing w:after="0"/>
        <w:rPr>
          <w:rStyle w:val="858"/>
          <w:sz w:val="24"/>
          <w:szCs w:val="24"/>
        </w:rPr>
        <w:suppressLineNumbers w:val="0"/>
      </w:pPr>
      <w:r>
        <w:rPr>
          <w:sz w:val="24"/>
          <w:szCs w:val="24"/>
          <w:lang w:val="ru-RU"/>
        </w:rPr>
        <w:t xml:space="preserve">2</w:t>
      </w:r>
      <w:r>
        <w:rPr>
          <w:sz w:val="24"/>
          <w:szCs w:val="24"/>
        </w:rPr>
        <w:t xml:space="preserve">. Отделу по управлению муниципальным имуществом, администрации Тайшетского городского поселения (О.В. Тун-Куй-Сю)</w:t>
      </w:r>
      <w:r>
        <w:rPr>
          <w:rStyle w:val="858"/>
          <w:sz w:val="24"/>
          <w:szCs w:val="24"/>
        </w:rPr>
        <w:t xml:space="preserve"> в установленном законом порядке обеспечить:</w:t>
      </w:r>
      <w:r>
        <w:rPr>
          <w:rStyle w:val="858"/>
          <w:sz w:val="24"/>
          <w:szCs w:val="24"/>
          <w:highlight w:val="yellow"/>
        </w:rPr>
        <w:t xml:space="preserve"> </w:t>
      </w:r>
      <w:r>
        <w:rPr>
          <w:rStyle w:val="858"/>
          <w:sz w:val="24"/>
          <w:szCs w:val="24"/>
        </w:rPr>
      </w:r>
      <w:r>
        <w:rPr>
          <w:rStyle w:val="858"/>
          <w:sz w:val="24"/>
          <w:szCs w:val="24"/>
        </w:rPr>
      </w:r>
    </w:p>
    <w:p>
      <w:pPr>
        <w:pStyle w:val="850"/>
        <w:contextualSpacing/>
        <w:ind w:right="0" w:firstLine="720"/>
        <w:jc w:val="both"/>
        <w:rPr>
          <w:sz w:val="24"/>
          <w:szCs w:val="24"/>
        </w:rPr>
        <w:suppressLineNumbers w:val="0"/>
      </w:pPr>
      <w:r>
        <w:rPr>
          <w:rStyle w:val="858"/>
          <w:sz w:val="24"/>
          <w:szCs w:val="24"/>
        </w:rPr>
        <w:t xml:space="preserve">2</w:t>
      </w:r>
      <w:r>
        <w:rPr>
          <w:rStyle w:val="858"/>
          <w:sz w:val="24"/>
          <w:szCs w:val="24"/>
        </w:rPr>
        <w:t xml:space="preserve">.</w:t>
      </w:r>
      <w:r>
        <w:rPr>
          <w:rStyle w:val="858"/>
          <w:sz w:val="24"/>
          <w:szCs w:val="24"/>
        </w:rPr>
        <w:t xml:space="preserve">1. размещение решения о прекращении публичного сервитута </w:t>
      </w:r>
      <w:r>
        <w:rPr>
          <w:sz w:val="24"/>
          <w:szCs w:val="24"/>
        </w:rPr>
        <w:t xml:space="preserve">на официальном сайте администрации Та</w:t>
      </w:r>
      <w:r>
        <w:rPr>
          <w:sz w:val="24"/>
          <w:szCs w:val="24"/>
        </w:rPr>
        <w:t xml:space="preserve">й</w:t>
      </w:r>
      <w:r>
        <w:rPr>
          <w:sz w:val="24"/>
          <w:szCs w:val="24"/>
        </w:rPr>
        <w:t xml:space="preserve">шетского городского поселения в сети «Интернет» (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HYPERLINK "http://gorodtaishet.ru/"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http://gorodtaishet.ru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), и опубликовать в </w:t>
      </w:r>
      <w:r>
        <w:rPr>
          <w:sz w:val="24"/>
          <w:szCs w:val="24"/>
        </w:rPr>
        <w:t xml:space="preserve">бюллетене </w:t>
      </w:r>
      <w:r>
        <w:rPr>
          <w:sz w:val="24"/>
          <w:szCs w:val="24"/>
        </w:rPr>
        <w:t xml:space="preserve">«Вестник Тайшетского городского поселения».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0"/>
        <w:contextualSpacing/>
        <w:ind w:right="0" w:firstLine="720"/>
        <w:jc w:val="both"/>
        <w:rPr>
          <w:rStyle w:val="858"/>
          <w:sz w:val="24"/>
          <w:szCs w:val="24"/>
        </w:rPr>
        <w:suppressLineNumbers w:val="0"/>
      </w:pPr>
      <w:r>
        <w:rPr>
          <w:rStyle w:val="858"/>
          <w:sz w:val="24"/>
          <w:szCs w:val="24"/>
        </w:rPr>
        <w:t xml:space="preserve">2</w:t>
      </w:r>
      <w:r>
        <w:rPr>
          <w:rStyle w:val="858"/>
          <w:sz w:val="24"/>
          <w:szCs w:val="24"/>
        </w:rPr>
        <w:t xml:space="preserve">.2.</w:t>
      </w:r>
      <w:r>
        <w:rPr>
          <w:rStyle w:val="858"/>
          <w:sz w:val="24"/>
          <w:szCs w:val="24"/>
        </w:rPr>
        <w:t xml:space="preserve"> направление </w:t>
      </w:r>
      <w:r>
        <w:rPr>
          <w:sz w:val="24"/>
          <w:szCs w:val="24"/>
        </w:rPr>
        <w:t xml:space="preserve">Акционерно</w:t>
      </w:r>
      <w:r>
        <w:rPr>
          <w:sz w:val="24"/>
          <w:szCs w:val="24"/>
        </w:rPr>
        <w:t xml:space="preserve">му</w:t>
      </w:r>
      <w:r>
        <w:rPr>
          <w:sz w:val="24"/>
          <w:szCs w:val="24"/>
        </w:rPr>
        <w:t xml:space="preserve"> обществ</w:t>
      </w:r>
      <w:r>
        <w:rPr>
          <w:sz w:val="24"/>
          <w:szCs w:val="24"/>
        </w:rPr>
        <w:t xml:space="preserve">у</w:t>
      </w:r>
      <w:r>
        <w:rPr>
          <w:sz w:val="24"/>
          <w:szCs w:val="24"/>
        </w:rPr>
        <w:t xml:space="preserve"> «</w:t>
      </w:r>
      <w:r>
        <w:rPr>
          <w:sz w:val="24"/>
          <w:szCs w:val="24"/>
        </w:rPr>
        <w:t xml:space="preserve">Иркутская электросетевая компания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  <w:t xml:space="preserve"> </w:t>
      </w:r>
      <w:r>
        <w:rPr>
          <w:rStyle w:val="858"/>
          <w:sz w:val="24"/>
          <w:szCs w:val="24"/>
        </w:rPr>
        <w:t xml:space="preserve">копии настоящего постановления</w:t>
      </w:r>
      <w:r>
        <w:rPr>
          <w:rStyle w:val="858"/>
          <w:sz w:val="24"/>
          <w:szCs w:val="24"/>
        </w:rPr>
        <w:t xml:space="preserve">;</w:t>
      </w:r>
      <w:r>
        <w:rPr>
          <w:rStyle w:val="858"/>
          <w:sz w:val="24"/>
          <w:szCs w:val="24"/>
        </w:rPr>
      </w:r>
      <w:r>
        <w:rPr>
          <w:rStyle w:val="858"/>
          <w:sz w:val="24"/>
          <w:szCs w:val="24"/>
        </w:rPr>
      </w:r>
    </w:p>
    <w:p>
      <w:pPr>
        <w:pStyle w:val="850"/>
        <w:contextualSpacing/>
        <w:ind w:right="0" w:firstLine="720"/>
        <w:jc w:val="both"/>
        <w:rPr>
          <w:rStyle w:val="858"/>
          <w:sz w:val="24"/>
          <w:szCs w:val="24"/>
        </w:rPr>
        <w:suppressLineNumbers w:val="0"/>
      </w:pPr>
      <w:r>
        <w:rPr>
          <w:rStyle w:val="858"/>
          <w:sz w:val="24"/>
          <w:szCs w:val="24"/>
        </w:rPr>
        <w:t xml:space="preserve">2.</w:t>
      </w:r>
      <w:r>
        <w:rPr>
          <w:rStyle w:val="858"/>
          <w:sz w:val="24"/>
          <w:szCs w:val="24"/>
        </w:rPr>
        <w:t xml:space="preserve">3 направление копии решения о прекращении публичного сервитута в Федеральную службу государственной регистрации, кадастра и картографии (Росреестр).</w:t>
      </w:r>
      <w:r>
        <w:rPr>
          <w:rStyle w:val="858"/>
          <w:sz w:val="24"/>
          <w:szCs w:val="24"/>
        </w:rPr>
      </w:r>
      <w:r>
        <w:rPr>
          <w:rStyle w:val="858"/>
          <w:sz w:val="24"/>
          <w:szCs w:val="24"/>
        </w:rPr>
      </w:r>
    </w:p>
    <w:p>
      <w:pPr>
        <w:pStyle w:val="853"/>
        <w:ind w:left="0"/>
        <w:rPr>
          <w:b w:val="0"/>
          <w:bCs w:val="0"/>
        </w:rPr>
      </w:pPr>
      <w:r>
        <w:rPr>
          <w:b w:val="0"/>
          <w:szCs w:val="24"/>
        </w:rPr>
        <w:t xml:space="preserve"> </w:t>
      </w:r>
      <w:r>
        <w:rPr>
          <w:b w:val="0"/>
          <w:szCs w:val="24"/>
        </w:rPr>
        <w:t xml:space="preserve">Глава</w:t>
      </w:r>
      <w:r>
        <w:rPr>
          <w:b w:val="0"/>
          <w:szCs w:val="24"/>
        </w:rPr>
        <w:t xml:space="preserve"> </w:t>
      </w:r>
      <w:r>
        <w:rPr>
          <w:b w:val="0"/>
          <w:szCs w:val="24"/>
        </w:rPr>
        <w:t xml:space="preserve"> Тайшетского</w:t>
      </w:r>
      <w:r>
        <w:rPr>
          <w:b w:val="0"/>
          <w:szCs w:val="24"/>
        </w:rPr>
      </w:r>
    </w:p>
    <w:p>
      <w:pPr>
        <w:pStyle w:val="853"/>
        <w:ind w:left="0"/>
        <w:rPr>
          <w:b w:val="0"/>
          <w:bCs w:val="0"/>
        </w:rPr>
      </w:pPr>
      <w:r>
        <w:rPr>
          <w:b w:val="0"/>
          <w:szCs w:val="24"/>
        </w:rPr>
        <w:t xml:space="preserve"> городского поселения</w:t>
        <w:tab/>
        <w:tab/>
        <w:tab/>
        <w:tab/>
        <w:tab/>
        <w:tab/>
      </w:r>
      <w:r>
        <w:rPr>
          <w:b w:val="0"/>
          <w:szCs w:val="24"/>
        </w:rPr>
        <w:tab/>
      </w:r>
      <w:r>
        <w:rPr>
          <w:b w:val="0"/>
          <w:szCs w:val="24"/>
        </w:rPr>
        <w:t xml:space="preserve">Р.О.</w:t>
      </w:r>
      <w:r>
        <w:rPr>
          <w:b w:val="0"/>
          <w:szCs w:val="24"/>
        </w:rPr>
      </w:r>
      <w:r/>
      <w:r>
        <w:rPr>
          <w:b w:val="0"/>
          <w:szCs w:val="24"/>
        </w:rPr>
        <w:t xml:space="preserve"> Леоненко </w:t>
      </w:r>
      <w:r/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b w:val="0"/>
          <w:bCs w:val="0"/>
        </w:rPr>
      </w:r>
    </w:p>
    <w:p>
      <w:pPr>
        <w:pStyle w:val="850"/>
        <w:ind w:firstLine="0"/>
        <w:jc w:val="left"/>
      </w:pPr>
      <w:r>
        <w:t xml:space="preserve">Исп.: Веселкова Т.В.</w:t>
      </w:r>
      <w:r/>
    </w:p>
    <w:p>
      <w:pPr>
        <w:ind w:firstLine="0"/>
        <w:jc w:val="left"/>
      </w:pPr>
      <w:r>
        <w:t xml:space="preserve">Тел.:2-20-20                                                                      </w:t>
      </w:r>
      <w:r>
        <w:t xml:space="preserve">   </w:t>
      </w:r>
      <w:r/>
    </w:p>
    <w:p>
      <w:pPr>
        <w:pStyle w:val="850"/>
        <w:rPr>
          <w:b/>
          <w:bCs/>
          <w:sz w:val="24"/>
          <w:szCs w:val="24"/>
        </w:rPr>
        <w:sectPr>
          <w:footnotePr/>
          <w:endnotePr/>
          <w:type w:val="nextPage"/>
          <w:pgSz w:w="11906" w:h="16838" w:orient="portrait"/>
          <w:pgMar w:top="850" w:right="850" w:bottom="737" w:left="1701" w:header="708" w:footer="708" w:gutter="0"/>
          <w:cols w:num="1" w:sep="0" w:space="708" w:equalWidth="1"/>
          <w:docGrid w:linePitch="360"/>
        </w:sectPr>
      </w:pP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50"/>
        <w:jc w:val="righ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Приложение </w:t>
      </w:r>
      <w:r>
        <w:rPr>
          <w:b w:val="0"/>
          <w:bCs w:val="0"/>
          <w:sz w:val="24"/>
          <w:szCs w:val="24"/>
        </w:rPr>
      </w:r>
    </w:p>
    <w:p>
      <w:pPr>
        <w:jc w:val="righ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к постановлению администрации </w:t>
      </w:r>
      <w:r>
        <w:rPr>
          <w:b w:val="0"/>
          <w:bCs w:val="0"/>
          <w:sz w:val="24"/>
          <w:szCs w:val="24"/>
        </w:rPr>
      </w:r>
    </w:p>
    <w:p>
      <w:pPr>
        <w:jc w:val="righ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Тайшетского городского поселения </w:t>
      </w:r>
      <w:r>
        <w:rPr>
          <w:b w:val="0"/>
          <w:bCs w:val="0"/>
          <w:sz w:val="24"/>
          <w:szCs w:val="24"/>
        </w:rPr>
      </w:r>
    </w:p>
    <w:p>
      <w:pPr>
        <w:jc w:val="righ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27 мая 2025 года</w:t>
      </w:r>
      <w:r/>
      <w:r/>
    </w:p>
    <w:p>
      <w:pPr>
        <w:pStyle w:val="850"/>
        <w:jc w:val="center"/>
        <w:rPr>
          <w:b/>
        </w:rPr>
      </w:pPr>
      <w:r>
        <w:rPr>
          <w:b/>
        </w:rPr>
      </w:r>
      <w:r>
        <w:rPr>
          <w:b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9256395" cy="3342294"/>
                <wp:effectExtent l="6350" t="6350" r="6350" b="635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2648121" name=""/>
                        <pic:cNvPicPr/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 flipH="0" flipV="0">
                          <a:off x="0" y="0"/>
                          <a:ext cx="9256394" cy="334229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728.85pt;height:263.17pt;mso-wrap-distance-left:0.00pt;mso-wrap-distance-top:0.00pt;mso-wrap-distance-right:0.00pt;mso-wrap-distance-bottom:0.00pt;" stroked="f">
                <v:path textboxrect="0,0,0,0"/>
                <v:imagedata r:id="rId9" o:title=""/>
              </v:shape>
            </w:pict>
          </mc:Fallback>
        </mc:AlternateContent>
      </w:r>
      <w:r>
        <w:rPr>
          <w:b/>
        </w:rPr>
      </w:r>
      <w:r>
        <w:rPr>
          <w:b/>
        </w:rPr>
      </w:r>
      <w:r>
        <w:rPr>
          <w:b/>
        </w:rPr>
      </w:r>
      <w:r>
        <w:rPr>
          <w:b/>
          <w:bCs/>
          <w:sz w:val="24"/>
          <w:szCs w:val="24"/>
        </w:rPr>
        <w:t xml:space="preserve">Масштаб 1:5</w:t>
      </w:r>
      <w:r>
        <w:rPr>
          <w:b/>
          <w:bCs/>
          <w:sz w:val="24"/>
          <w:szCs w:val="24"/>
        </w:rPr>
        <w:t xml:space="preserve">000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  <w:r>
        <w:rPr>
          <w:b/>
        </w:rPr>
      </w:r>
    </w:p>
    <w:p>
      <w:pPr>
        <w:pStyle w:val="850"/>
        <w:rPr>
          <w:b/>
          <w:bCs/>
          <w:sz w:val="20"/>
        </w:rPr>
      </w:pPr>
      <w:r>
        <w:rPr>
          <w:b/>
          <w:bCs/>
          <w:sz w:val="20"/>
        </w:rPr>
        <w:t xml:space="preserve">Условные обозначения:</w:t>
      </w:r>
      <w:r>
        <w:rPr>
          <w:b/>
          <w:bCs/>
          <w:sz w:val="20"/>
        </w:rPr>
      </w:r>
      <w:r>
        <w:rPr>
          <w:b/>
          <w:bCs/>
          <w:sz w:val="20"/>
        </w:rPr>
      </w:r>
    </w:p>
    <w:p>
      <w:pPr>
        <w:pStyle w:val="850"/>
        <w:rPr>
          <w:b/>
          <w:bCs/>
          <w:sz w:val="20"/>
        </w:rPr>
      </w:pPr>
      <w:r>
        <w:rPr>
          <w:b/>
          <w:bCs/>
          <w:sz w:val="24"/>
          <w:szCs w:val="24"/>
        </w:rPr>
        <w:t xml:space="preserve">   </w:t>
      </w:r>
      <w:r>
        <w:rPr>
          <w:b/>
          <w:sz w:val="20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342900" cy="38100"/>
                <wp:effectExtent l="0" t="0" r="0" b="0"/>
                <wp:docPr id="2" name="_x0000_i102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342900" cy="38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27.00pt;height:3.00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b/>
          <w:bCs/>
          <w:sz w:val="20"/>
        </w:rPr>
        <w:t xml:space="preserve"> - Граница образуемого земельного участка;</w:t>
      </w:r>
      <w:r>
        <w:rPr>
          <w:b/>
          <w:bCs/>
          <w:sz w:val="20"/>
        </w:rPr>
      </w:r>
      <w:r>
        <w:rPr>
          <w:b/>
          <w:bCs/>
          <w:sz w:val="20"/>
        </w:rPr>
      </w:r>
    </w:p>
    <w:p>
      <w:pPr>
        <w:pStyle w:val="850"/>
        <w:rPr>
          <w:b/>
          <w:bCs/>
          <w:sz w:val="20"/>
        </w:rPr>
      </w:pPr>
      <w:r>
        <w:rPr>
          <w:b/>
          <w:bCs/>
          <w:sz w:val="20"/>
        </w:rPr>
        <w:t xml:space="preserve">   </w:t>
      </w:r>
      <w:r>
        <w:rPr>
          <w:sz w:val="20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342900" cy="28575"/>
                <wp:effectExtent l="0" t="0" r="0" b="0"/>
                <wp:docPr id="3" name="_x0000_i102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342900" cy="28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27.00pt;height:2.25pt;mso-wrap-distance-left:0.00pt;mso-wrap-distance-top:0.00pt;mso-wrap-distance-right:0.00pt;mso-wrap-distance-bottom:0.00pt;" stroked="f">
                <v:path textboxrect="0,0,0,0"/>
                <v:imagedata r:id="rId11" o:title=""/>
              </v:shape>
            </w:pict>
          </mc:Fallback>
        </mc:AlternateContent>
      </w:r>
      <w:r>
        <w:rPr>
          <w:b/>
          <w:bCs/>
          <w:sz w:val="20"/>
        </w:rPr>
        <w:t xml:space="preserve"> - Граница земельного участка, сведения о котором имеются в ЕГРН;</w:t>
      </w:r>
      <w:r>
        <w:rPr>
          <w:b/>
          <w:bCs/>
          <w:sz w:val="20"/>
        </w:rPr>
      </w:r>
      <w:r>
        <w:rPr>
          <w:b/>
          <w:bCs/>
          <w:sz w:val="20"/>
        </w:rPr>
      </w:r>
    </w:p>
    <w:p>
      <w:pPr>
        <w:pStyle w:val="850"/>
        <w:rPr>
          <w:b/>
          <w:bCs/>
          <w:sz w:val="20"/>
        </w:rPr>
      </w:pPr>
      <w:r>
        <w:rPr>
          <w:b/>
          <w:bCs/>
          <w:sz w:val="20"/>
        </w:rPr>
        <w:t xml:space="preserve"> </w:t>
      </w:r>
      <w:r>
        <w:rPr>
          <w:b/>
          <w:bCs/>
          <w:sz w:val="20"/>
        </w:rPr>
        <w:t xml:space="preserve">   н1 </w:t>
      </w:r>
      <w:r>
        <w:rPr>
          <w:b/>
          <w:bCs/>
          <w:sz w:val="20"/>
        </w:rPr>
        <w:t xml:space="preserve">- характерная точка границы земельного участка, полученная в ходе проведения кадастровых работ;</w:t>
      </w:r>
      <w:r>
        <w:rPr>
          <w:b/>
          <w:bCs/>
          <w:sz w:val="20"/>
        </w:rPr>
      </w:r>
      <w:r>
        <w:rPr>
          <w:b/>
          <w:bCs/>
          <w:sz w:val="20"/>
        </w:rPr>
      </w:r>
    </w:p>
    <w:p>
      <w:pPr>
        <w:pStyle w:val="850"/>
        <w:rPr>
          <w:b/>
          <w:bCs/>
          <w:sz w:val="20"/>
        </w:rPr>
      </w:pPr>
      <w:r>
        <w:rPr>
          <w:b/>
          <w:bCs/>
          <w:sz w:val="20"/>
        </w:rPr>
        <w:t xml:space="preserve">     15 - </w:t>
      </w:r>
      <w:r>
        <w:rPr>
          <w:b/>
          <w:bCs/>
          <w:sz w:val="20"/>
        </w:rPr>
        <w:t xml:space="preserve">характерная точка границы земельного участка</w:t>
      </w:r>
      <w:r>
        <w:rPr>
          <w:b/>
          <w:bCs/>
          <w:sz w:val="20"/>
        </w:rPr>
        <w:t xml:space="preserve">, сведения о которой имеются в ЕГРН;</w:t>
      </w:r>
      <w:r>
        <w:rPr>
          <w:b/>
          <w:bCs/>
          <w:sz w:val="20"/>
        </w:rPr>
      </w:r>
      <w:r>
        <w:rPr>
          <w:b/>
          <w:bCs/>
          <w:sz w:val="20"/>
        </w:rPr>
      </w:r>
    </w:p>
    <w:p>
      <w:pPr>
        <w:pStyle w:val="850"/>
        <w:rPr>
          <w:b/>
          <w:bCs/>
          <w:sz w:val="20"/>
        </w:rPr>
      </w:pPr>
      <w:r>
        <w:rPr>
          <w:b/>
          <w:bCs/>
          <w:color w:val="365f91"/>
          <w:sz w:val="20"/>
        </w:rPr>
        <w:t xml:space="preserve">38:</w:t>
      </w:r>
      <w:r>
        <w:rPr>
          <w:b/>
          <w:bCs/>
          <w:color w:val="365f91"/>
          <w:sz w:val="20"/>
        </w:rPr>
        <w:t xml:space="preserve">29</w:t>
      </w:r>
      <w:r>
        <w:rPr>
          <w:b/>
          <w:bCs/>
          <w:color w:val="365f91"/>
          <w:sz w:val="20"/>
        </w:rPr>
        <w:t xml:space="preserve">:</w:t>
      </w:r>
      <w:r>
        <w:rPr>
          <w:b/>
          <w:bCs/>
          <w:color w:val="365f91"/>
          <w:sz w:val="20"/>
        </w:rPr>
        <w:t xml:space="preserve">030109</w:t>
      </w:r>
      <w:r>
        <w:rPr>
          <w:b/>
          <w:bCs/>
          <w:color w:val="365f91"/>
          <w:sz w:val="20"/>
        </w:rPr>
        <w:t xml:space="preserve"> </w:t>
      </w:r>
      <w:r>
        <w:rPr>
          <w:b/>
          <w:bCs/>
          <w:sz w:val="20"/>
        </w:rPr>
        <w:t xml:space="preserve">– кадастровый номер кадастрового квартала;</w:t>
      </w:r>
      <w:r>
        <w:rPr>
          <w:b/>
          <w:bCs/>
          <w:sz w:val="20"/>
        </w:rPr>
      </w:r>
      <w:r>
        <w:rPr>
          <w:b/>
          <w:bCs/>
          <w:sz w:val="20"/>
        </w:rPr>
      </w:r>
    </w:p>
    <w:p>
      <w:pPr>
        <w:pStyle w:val="850"/>
        <w:rPr>
          <w:b/>
          <w:bCs/>
          <w:color w:val="0d0d0d"/>
          <w:sz w:val="20"/>
          <w:szCs w:val="20"/>
          <w:highlight w:val="none"/>
        </w:rPr>
      </w:pPr>
      <w:r>
        <w:rPr>
          <w:b/>
          <w:bCs/>
          <w:color w:val="0d0d0d"/>
          <w:sz w:val="20"/>
        </w:rPr>
        <w:t xml:space="preserve">:ЗУ1(1)</w:t>
      </w:r>
      <w:r>
        <w:rPr>
          <w:b/>
          <w:bCs/>
          <w:color w:val="0d0d0d"/>
          <w:sz w:val="20"/>
        </w:rPr>
        <w:t xml:space="preserve"> - обозначение земельного участка, в отношении которого проводятся кадастровые работ</w:t>
      </w:r>
      <w:r>
        <w:rPr>
          <w:b/>
          <w:bCs/>
          <w:color w:val="0d0d0d"/>
          <w:sz w:val="20"/>
          <w:szCs w:val="20"/>
          <w:highlight w:val="none"/>
        </w:rPr>
      </w:r>
      <w:r>
        <w:rPr>
          <w:b/>
          <w:bCs/>
          <w:color w:val="0d0d0d"/>
          <w:sz w:val="20"/>
          <w:szCs w:val="20"/>
          <w:highlight w:val="none"/>
        </w:rPr>
      </w:r>
    </w:p>
    <w:p>
      <w:pPr>
        <w:rPr>
          <w:b/>
          <w:bCs/>
          <w:color w:val="0d0d0d"/>
          <w:sz w:val="24"/>
          <w:szCs w:val="24"/>
        </w:rPr>
      </w:pPr>
      <w:r>
        <w:rPr>
          <w:b/>
          <w:bCs/>
          <w:color w:val="0d0d0d"/>
          <w:sz w:val="24"/>
          <w:szCs w:val="24"/>
        </w:rPr>
      </w:r>
      <w:r>
        <w:rPr>
          <w:b/>
          <w:bCs/>
          <w:color w:val="0d0d0d"/>
          <w:sz w:val="24"/>
          <w:szCs w:val="24"/>
        </w:rPr>
      </w:r>
      <w:r>
        <w:rPr>
          <w:b/>
          <w:bCs/>
          <w:color w:val="0d0d0d"/>
          <w:sz w:val="24"/>
          <w:szCs w:val="24"/>
        </w:rPr>
      </w:r>
    </w:p>
    <w:p>
      <w:pPr>
        <w:pStyle w:val="850"/>
        <w:rPr>
          <w:sz w:val="24"/>
          <w:szCs w:val="24"/>
        </w:rPr>
      </w:pPr>
      <w:r>
        <w:rPr>
          <w:sz w:val="24"/>
          <w:szCs w:val="24"/>
        </w:rPr>
        <w:t xml:space="preserve">Начальник отдела по организационной работе,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0"/>
        <w:rPr>
          <w:sz w:val="24"/>
          <w:szCs w:val="24"/>
        </w:rPr>
      </w:pPr>
      <w:r>
        <w:rPr>
          <w:sz w:val="24"/>
          <w:szCs w:val="24"/>
        </w:rPr>
        <w:t xml:space="preserve">контролю и делопроизводству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0"/>
        <w:rPr>
          <w:sz w:val="24"/>
          <w:szCs w:val="24"/>
        </w:rPr>
      </w:pPr>
      <w:r>
        <w:rPr>
          <w:sz w:val="24"/>
          <w:szCs w:val="24"/>
        </w:rPr>
        <w:t xml:space="preserve">Тайшетского городского поселения</w:t>
        <w:tab/>
        <w:tab/>
        <w:tab/>
        <w:tab/>
        <w:tab/>
        <w:tab/>
        <w:tab/>
        <w:tab/>
        <w:tab/>
        <w:tab/>
        <w:tab/>
        <w:tab/>
        <w:t xml:space="preserve">В.Д. Бычкова</w:t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6838" w:h="11906" w:orient="landscape"/>
      <w:pgMar w:top="1474" w:right="850" w:bottom="737" w:left="850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dale Sans UI">
    <w:panose1 w:val="02020603050405020304"/>
  </w:font>
  <w:font w:name="Tahoma">
    <w:panose1 w:val="020B0604030504040204"/>
  </w:font>
  <w:font w:name="Consultant">
    <w:panose1 w:val="020206030504050203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50" w:hanging="360"/>
        <w:tabs>
          <w:tab w:val="num" w:pos="105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1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23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5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7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9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1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3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5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7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65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18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0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2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4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06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8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0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25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45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6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8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10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2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4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6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8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70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7"/>
  </w:num>
  <w:num w:numId="7">
    <w:abstractNumId w:val="5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2">
    <w:name w:val="Heading 1"/>
    <w:basedOn w:val="850"/>
    <w:next w:val="850"/>
    <w:link w:val="67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3">
    <w:name w:val="Heading 1 Char"/>
    <w:link w:val="672"/>
    <w:uiPriority w:val="9"/>
    <w:rPr>
      <w:rFonts w:ascii="Arial" w:hAnsi="Arial" w:eastAsia="Arial" w:cs="Arial"/>
      <w:sz w:val="40"/>
      <w:szCs w:val="40"/>
    </w:rPr>
  </w:style>
  <w:style w:type="paragraph" w:styleId="674">
    <w:name w:val="Heading 2"/>
    <w:basedOn w:val="850"/>
    <w:next w:val="850"/>
    <w:link w:val="67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5">
    <w:name w:val="Heading 2 Char"/>
    <w:link w:val="674"/>
    <w:uiPriority w:val="9"/>
    <w:rPr>
      <w:rFonts w:ascii="Arial" w:hAnsi="Arial" w:eastAsia="Arial" w:cs="Arial"/>
      <w:sz w:val="34"/>
    </w:rPr>
  </w:style>
  <w:style w:type="paragraph" w:styleId="676">
    <w:name w:val="Heading 3"/>
    <w:basedOn w:val="850"/>
    <w:next w:val="850"/>
    <w:link w:val="67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7">
    <w:name w:val="Heading 3 Char"/>
    <w:link w:val="676"/>
    <w:uiPriority w:val="9"/>
    <w:rPr>
      <w:rFonts w:ascii="Arial" w:hAnsi="Arial" w:eastAsia="Arial" w:cs="Arial"/>
      <w:sz w:val="30"/>
      <w:szCs w:val="30"/>
    </w:rPr>
  </w:style>
  <w:style w:type="paragraph" w:styleId="678">
    <w:name w:val="Heading 4"/>
    <w:basedOn w:val="850"/>
    <w:next w:val="850"/>
    <w:link w:val="67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9">
    <w:name w:val="Heading 4 Char"/>
    <w:link w:val="678"/>
    <w:uiPriority w:val="9"/>
    <w:rPr>
      <w:rFonts w:ascii="Arial" w:hAnsi="Arial" w:eastAsia="Arial" w:cs="Arial"/>
      <w:b/>
      <w:bCs/>
      <w:sz w:val="26"/>
      <w:szCs w:val="26"/>
    </w:rPr>
  </w:style>
  <w:style w:type="paragraph" w:styleId="680">
    <w:name w:val="Heading 5"/>
    <w:basedOn w:val="850"/>
    <w:next w:val="850"/>
    <w:link w:val="68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1">
    <w:name w:val="Heading 5 Char"/>
    <w:link w:val="680"/>
    <w:uiPriority w:val="9"/>
    <w:rPr>
      <w:rFonts w:ascii="Arial" w:hAnsi="Arial" w:eastAsia="Arial" w:cs="Arial"/>
      <w:b/>
      <w:bCs/>
      <w:sz w:val="24"/>
      <w:szCs w:val="24"/>
    </w:rPr>
  </w:style>
  <w:style w:type="paragraph" w:styleId="682">
    <w:name w:val="Heading 6"/>
    <w:basedOn w:val="850"/>
    <w:next w:val="850"/>
    <w:link w:val="68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3">
    <w:name w:val="Heading 6 Char"/>
    <w:link w:val="682"/>
    <w:uiPriority w:val="9"/>
    <w:rPr>
      <w:rFonts w:ascii="Arial" w:hAnsi="Arial" w:eastAsia="Arial" w:cs="Arial"/>
      <w:b/>
      <w:bCs/>
      <w:sz w:val="22"/>
      <w:szCs w:val="22"/>
    </w:rPr>
  </w:style>
  <w:style w:type="paragraph" w:styleId="684">
    <w:name w:val="Heading 7"/>
    <w:basedOn w:val="850"/>
    <w:next w:val="850"/>
    <w:link w:val="68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5">
    <w:name w:val="Heading 7 Char"/>
    <w:link w:val="6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6">
    <w:name w:val="Heading 8"/>
    <w:basedOn w:val="850"/>
    <w:next w:val="850"/>
    <w:link w:val="68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7">
    <w:name w:val="Heading 8 Char"/>
    <w:link w:val="686"/>
    <w:uiPriority w:val="9"/>
    <w:rPr>
      <w:rFonts w:ascii="Arial" w:hAnsi="Arial" w:eastAsia="Arial" w:cs="Arial"/>
      <w:i/>
      <w:iCs/>
      <w:sz w:val="22"/>
      <w:szCs w:val="22"/>
    </w:rPr>
  </w:style>
  <w:style w:type="paragraph" w:styleId="688">
    <w:name w:val="Heading 9"/>
    <w:basedOn w:val="850"/>
    <w:next w:val="850"/>
    <w:link w:val="68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9">
    <w:name w:val="Heading 9 Char"/>
    <w:link w:val="688"/>
    <w:uiPriority w:val="9"/>
    <w:rPr>
      <w:rFonts w:ascii="Arial" w:hAnsi="Arial" w:eastAsia="Arial" w:cs="Arial"/>
      <w:i/>
      <w:iCs/>
      <w:sz w:val="21"/>
      <w:szCs w:val="21"/>
    </w:rPr>
  </w:style>
  <w:style w:type="paragraph" w:styleId="690">
    <w:name w:val="List Paragraph"/>
    <w:basedOn w:val="850"/>
    <w:uiPriority w:val="34"/>
    <w:qFormat/>
    <w:pPr>
      <w:contextualSpacing/>
      <w:ind w:left="720"/>
    </w:pPr>
  </w:style>
  <w:style w:type="paragraph" w:styleId="691">
    <w:name w:val="No Spacing"/>
    <w:uiPriority w:val="1"/>
    <w:qFormat/>
    <w:pPr>
      <w:spacing w:before="0" w:after="0" w:line="240" w:lineRule="auto"/>
    </w:pPr>
  </w:style>
  <w:style w:type="paragraph" w:styleId="692">
    <w:name w:val="Title"/>
    <w:basedOn w:val="850"/>
    <w:next w:val="850"/>
    <w:link w:val="69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3">
    <w:name w:val="Title Char"/>
    <w:link w:val="692"/>
    <w:uiPriority w:val="10"/>
    <w:rPr>
      <w:sz w:val="48"/>
      <w:szCs w:val="48"/>
    </w:rPr>
  </w:style>
  <w:style w:type="paragraph" w:styleId="694">
    <w:name w:val="Subtitle"/>
    <w:basedOn w:val="850"/>
    <w:next w:val="850"/>
    <w:link w:val="695"/>
    <w:uiPriority w:val="11"/>
    <w:qFormat/>
    <w:pPr>
      <w:spacing w:before="200" w:after="200"/>
    </w:pPr>
    <w:rPr>
      <w:sz w:val="24"/>
      <w:szCs w:val="24"/>
    </w:rPr>
  </w:style>
  <w:style w:type="character" w:styleId="695">
    <w:name w:val="Subtitle Char"/>
    <w:link w:val="694"/>
    <w:uiPriority w:val="11"/>
    <w:rPr>
      <w:sz w:val="24"/>
      <w:szCs w:val="24"/>
    </w:rPr>
  </w:style>
  <w:style w:type="paragraph" w:styleId="696">
    <w:name w:val="Quote"/>
    <w:basedOn w:val="850"/>
    <w:next w:val="850"/>
    <w:link w:val="697"/>
    <w:uiPriority w:val="29"/>
    <w:qFormat/>
    <w:pPr>
      <w:ind w:left="720" w:right="720"/>
    </w:pPr>
    <w:rPr>
      <w:i/>
    </w:rPr>
  </w:style>
  <w:style w:type="character" w:styleId="697">
    <w:name w:val="Quote Char"/>
    <w:link w:val="696"/>
    <w:uiPriority w:val="29"/>
    <w:rPr>
      <w:i/>
    </w:rPr>
  </w:style>
  <w:style w:type="paragraph" w:styleId="698">
    <w:name w:val="Intense Quote"/>
    <w:basedOn w:val="850"/>
    <w:next w:val="850"/>
    <w:link w:val="69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9">
    <w:name w:val="Intense Quote Char"/>
    <w:link w:val="698"/>
    <w:uiPriority w:val="30"/>
    <w:rPr>
      <w:i/>
    </w:rPr>
  </w:style>
  <w:style w:type="paragraph" w:styleId="700">
    <w:name w:val="Header"/>
    <w:basedOn w:val="850"/>
    <w:link w:val="70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1">
    <w:name w:val="Header Char"/>
    <w:link w:val="700"/>
    <w:uiPriority w:val="99"/>
  </w:style>
  <w:style w:type="paragraph" w:styleId="702">
    <w:name w:val="Footer"/>
    <w:basedOn w:val="850"/>
    <w:link w:val="70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3">
    <w:name w:val="Footer Char"/>
    <w:link w:val="702"/>
    <w:uiPriority w:val="99"/>
  </w:style>
  <w:style w:type="paragraph" w:styleId="704">
    <w:name w:val="Caption"/>
    <w:basedOn w:val="850"/>
    <w:next w:val="85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5">
    <w:name w:val="Caption Char"/>
    <w:basedOn w:val="704"/>
    <w:link w:val="702"/>
    <w:uiPriority w:val="99"/>
  </w:style>
  <w:style w:type="table" w:styleId="70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2">
    <w:name w:val="Hyperlink"/>
    <w:uiPriority w:val="99"/>
    <w:unhideWhenUsed/>
    <w:rPr>
      <w:color w:val="0000ff" w:themeColor="hyperlink"/>
      <w:u w:val="single"/>
    </w:rPr>
  </w:style>
  <w:style w:type="paragraph" w:styleId="833">
    <w:name w:val="footnote text"/>
    <w:basedOn w:val="850"/>
    <w:link w:val="834"/>
    <w:uiPriority w:val="99"/>
    <w:semiHidden/>
    <w:unhideWhenUsed/>
    <w:pPr>
      <w:spacing w:after="40" w:line="240" w:lineRule="auto"/>
    </w:pPr>
    <w:rPr>
      <w:sz w:val="18"/>
    </w:rPr>
  </w:style>
  <w:style w:type="character" w:styleId="834">
    <w:name w:val="Footnote Text Char"/>
    <w:link w:val="833"/>
    <w:uiPriority w:val="99"/>
    <w:rPr>
      <w:sz w:val="18"/>
    </w:rPr>
  </w:style>
  <w:style w:type="character" w:styleId="835">
    <w:name w:val="footnote reference"/>
    <w:uiPriority w:val="99"/>
    <w:unhideWhenUsed/>
    <w:rPr>
      <w:vertAlign w:val="superscript"/>
    </w:rPr>
  </w:style>
  <w:style w:type="paragraph" w:styleId="836">
    <w:name w:val="endnote text"/>
    <w:basedOn w:val="850"/>
    <w:link w:val="837"/>
    <w:uiPriority w:val="99"/>
    <w:semiHidden/>
    <w:unhideWhenUsed/>
    <w:pPr>
      <w:spacing w:after="0" w:line="240" w:lineRule="auto"/>
    </w:pPr>
    <w:rPr>
      <w:sz w:val="20"/>
    </w:rPr>
  </w:style>
  <w:style w:type="character" w:styleId="837">
    <w:name w:val="Endnote Text Char"/>
    <w:link w:val="836"/>
    <w:uiPriority w:val="99"/>
    <w:rPr>
      <w:sz w:val="20"/>
    </w:rPr>
  </w:style>
  <w:style w:type="character" w:styleId="838">
    <w:name w:val="endnote reference"/>
    <w:uiPriority w:val="99"/>
    <w:semiHidden/>
    <w:unhideWhenUsed/>
    <w:rPr>
      <w:vertAlign w:val="superscript"/>
    </w:rPr>
  </w:style>
  <w:style w:type="paragraph" w:styleId="839">
    <w:name w:val="toc 1"/>
    <w:basedOn w:val="850"/>
    <w:next w:val="850"/>
    <w:uiPriority w:val="39"/>
    <w:unhideWhenUsed/>
    <w:pPr>
      <w:ind w:left="0" w:right="0" w:firstLine="0"/>
      <w:spacing w:after="57"/>
    </w:pPr>
  </w:style>
  <w:style w:type="paragraph" w:styleId="840">
    <w:name w:val="toc 2"/>
    <w:basedOn w:val="850"/>
    <w:next w:val="850"/>
    <w:uiPriority w:val="39"/>
    <w:unhideWhenUsed/>
    <w:pPr>
      <w:ind w:left="283" w:right="0" w:firstLine="0"/>
      <w:spacing w:after="57"/>
    </w:pPr>
  </w:style>
  <w:style w:type="paragraph" w:styleId="841">
    <w:name w:val="toc 3"/>
    <w:basedOn w:val="850"/>
    <w:next w:val="850"/>
    <w:uiPriority w:val="39"/>
    <w:unhideWhenUsed/>
    <w:pPr>
      <w:ind w:left="567" w:right="0" w:firstLine="0"/>
      <w:spacing w:after="57"/>
    </w:pPr>
  </w:style>
  <w:style w:type="paragraph" w:styleId="842">
    <w:name w:val="toc 4"/>
    <w:basedOn w:val="850"/>
    <w:next w:val="850"/>
    <w:uiPriority w:val="39"/>
    <w:unhideWhenUsed/>
    <w:pPr>
      <w:ind w:left="850" w:right="0" w:firstLine="0"/>
      <w:spacing w:after="57"/>
    </w:pPr>
  </w:style>
  <w:style w:type="paragraph" w:styleId="843">
    <w:name w:val="toc 5"/>
    <w:basedOn w:val="850"/>
    <w:next w:val="850"/>
    <w:uiPriority w:val="39"/>
    <w:unhideWhenUsed/>
    <w:pPr>
      <w:ind w:left="1134" w:right="0" w:firstLine="0"/>
      <w:spacing w:after="57"/>
    </w:pPr>
  </w:style>
  <w:style w:type="paragraph" w:styleId="844">
    <w:name w:val="toc 6"/>
    <w:basedOn w:val="850"/>
    <w:next w:val="850"/>
    <w:uiPriority w:val="39"/>
    <w:unhideWhenUsed/>
    <w:pPr>
      <w:ind w:left="1417" w:right="0" w:firstLine="0"/>
      <w:spacing w:after="57"/>
    </w:pPr>
  </w:style>
  <w:style w:type="paragraph" w:styleId="845">
    <w:name w:val="toc 7"/>
    <w:basedOn w:val="850"/>
    <w:next w:val="850"/>
    <w:uiPriority w:val="39"/>
    <w:unhideWhenUsed/>
    <w:pPr>
      <w:ind w:left="1701" w:right="0" w:firstLine="0"/>
      <w:spacing w:after="57"/>
    </w:pPr>
  </w:style>
  <w:style w:type="paragraph" w:styleId="846">
    <w:name w:val="toc 8"/>
    <w:basedOn w:val="850"/>
    <w:next w:val="850"/>
    <w:uiPriority w:val="39"/>
    <w:unhideWhenUsed/>
    <w:pPr>
      <w:ind w:left="1984" w:right="0" w:firstLine="0"/>
      <w:spacing w:after="57"/>
    </w:pPr>
  </w:style>
  <w:style w:type="paragraph" w:styleId="847">
    <w:name w:val="toc 9"/>
    <w:basedOn w:val="850"/>
    <w:next w:val="850"/>
    <w:uiPriority w:val="39"/>
    <w:unhideWhenUsed/>
    <w:pPr>
      <w:ind w:left="2268" w:right="0" w:firstLine="0"/>
      <w:spacing w:after="57"/>
    </w:pPr>
  </w:style>
  <w:style w:type="paragraph" w:styleId="848">
    <w:name w:val="TOC Heading"/>
    <w:uiPriority w:val="39"/>
    <w:unhideWhenUsed/>
  </w:style>
  <w:style w:type="paragraph" w:styleId="849">
    <w:name w:val="table of figures"/>
    <w:basedOn w:val="850"/>
    <w:next w:val="850"/>
    <w:uiPriority w:val="99"/>
    <w:unhideWhenUsed/>
    <w:pPr>
      <w:spacing w:after="0" w:afterAutospacing="0"/>
    </w:pPr>
  </w:style>
  <w:style w:type="paragraph" w:styleId="850" w:default="1">
    <w:name w:val="Normal"/>
    <w:next w:val="850"/>
    <w:link w:val="850"/>
    <w:qFormat/>
    <w:rPr>
      <w:sz w:val="22"/>
      <w:lang w:val="ru-RU" w:eastAsia="ru-RU" w:bidi="ar-SA"/>
    </w:rPr>
  </w:style>
  <w:style w:type="paragraph" w:styleId="851">
    <w:name w:val="Заголовок 1"/>
    <w:basedOn w:val="850"/>
    <w:next w:val="850"/>
    <w:link w:val="850"/>
    <w:qFormat/>
    <w:pPr>
      <w:jc w:val="center"/>
      <w:keepNext/>
      <w:outlineLvl w:val="0"/>
    </w:pPr>
    <w:rPr>
      <w:b/>
      <w:sz w:val="24"/>
    </w:rPr>
  </w:style>
  <w:style w:type="paragraph" w:styleId="852">
    <w:name w:val="Заголовок 2"/>
    <w:basedOn w:val="850"/>
    <w:next w:val="850"/>
    <w:link w:val="850"/>
    <w:qFormat/>
    <w:pPr>
      <w:jc w:val="center"/>
      <w:keepNext/>
      <w:outlineLvl w:val="1"/>
    </w:pPr>
    <w:rPr>
      <w:b/>
      <w:sz w:val="28"/>
    </w:rPr>
  </w:style>
  <w:style w:type="paragraph" w:styleId="853">
    <w:name w:val="Заголовок 3"/>
    <w:basedOn w:val="850"/>
    <w:next w:val="850"/>
    <w:link w:val="850"/>
    <w:qFormat/>
    <w:pPr>
      <w:ind w:left="720"/>
      <w:keepNext/>
      <w:outlineLvl w:val="2"/>
    </w:pPr>
    <w:rPr>
      <w:b/>
      <w:sz w:val="24"/>
    </w:rPr>
  </w:style>
  <w:style w:type="character" w:styleId="854">
    <w:name w:val="Основной шрифт абзаца"/>
    <w:next w:val="854"/>
    <w:link w:val="850"/>
    <w:semiHidden/>
  </w:style>
  <w:style w:type="table" w:styleId="855">
    <w:name w:val="Обычная таблица"/>
    <w:next w:val="855"/>
    <w:link w:val="850"/>
    <w:semiHidden/>
    <w:tblPr/>
  </w:style>
  <w:style w:type="numbering" w:styleId="856">
    <w:name w:val="Нет списка"/>
    <w:next w:val="856"/>
    <w:link w:val="850"/>
    <w:semiHidden/>
  </w:style>
  <w:style w:type="paragraph" w:styleId="857">
    <w:name w:val="Основной текст"/>
    <w:basedOn w:val="850"/>
    <w:next w:val="857"/>
    <w:link w:val="850"/>
    <w:pPr>
      <w:jc w:val="both"/>
    </w:pPr>
  </w:style>
  <w:style w:type="character" w:styleId="858">
    <w:name w:val="fontstyle01"/>
    <w:next w:val="858"/>
    <w:link w:val="850"/>
    <w:rPr>
      <w:rFonts w:ascii="Times New Roman" w:hAnsi="Times New Roman" w:cs="Times New Roman"/>
      <w:color w:val="000000"/>
      <w:sz w:val="22"/>
      <w:szCs w:val="22"/>
    </w:rPr>
  </w:style>
  <w:style w:type="paragraph" w:styleId="859">
    <w:name w:val="Text body"/>
    <w:basedOn w:val="850"/>
    <w:next w:val="859"/>
    <w:link w:val="850"/>
    <w:pPr>
      <w:spacing w:after="120"/>
      <w:widowControl w:val="off"/>
    </w:pPr>
    <w:rPr>
      <w:rFonts w:eastAsia="Andale Sans UI" w:cs="Tahoma"/>
      <w:sz w:val="24"/>
      <w:szCs w:val="24"/>
      <w:lang w:val="de-DE" w:eastAsia="ja-JP" w:bidi="fa-IR"/>
    </w:rPr>
  </w:style>
  <w:style w:type="paragraph" w:styleId="860">
    <w:name w:val="Текст выноски"/>
    <w:basedOn w:val="850"/>
    <w:next w:val="860"/>
    <w:link w:val="861"/>
    <w:rPr>
      <w:rFonts w:ascii="Tahoma" w:hAnsi="Tahoma"/>
      <w:sz w:val="16"/>
      <w:szCs w:val="16"/>
      <w:lang w:val="en-US" w:eastAsia="en-US"/>
    </w:rPr>
  </w:style>
  <w:style w:type="character" w:styleId="861">
    <w:name w:val="Текст выноски Знак"/>
    <w:next w:val="861"/>
    <w:link w:val="860"/>
    <w:rPr>
      <w:rFonts w:ascii="Tahoma" w:hAnsi="Tahoma" w:cs="Tahoma"/>
      <w:sz w:val="16"/>
      <w:szCs w:val="16"/>
    </w:rPr>
  </w:style>
  <w:style w:type="table" w:styleId="862">
    <w:name w:val="Сетка таблицы"/>
    <w:basedOn w:val="855"/>
    <w:next w:val="862"/>
    <w:link w:val="850"/>
    <w:uiPriority w:val="39"/>
    <w:tblPr/>
  </w:style>
  <w:style w:type="paragraph" w:styleId="863">
    <w:name w:val="ConsNormal"/>
    <w:next w:val="863"/>
    <w:link w:val="850"/>
    <w:pPr>
      <w:ind w:firstLine="720"/>
    </w:pPr>
    <w:rPr>
      <w:rFonts w:ascii="Consultant" w:hAnsi="Consultant" w:eastAsia="Arial"/>
      <w:lang w:val="ru-RU" w:eastAsia="ar-SA" w:bidi="ar-SA"/>
    </w:rPr>
  </w:style>
  <w:style w:type="paragraph" w:styleId="864">
    <w:name w:val="Обычный (веб)"/>
    <w:basedOn w:val="850"/>
    <w:next w:val="864"/>
    <w:link w:val="850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styleId="865" w:default="1">
    <w:name w:val="Default Paragraph Font"/>
    <w:uiPriority w:val="1"/>
    <w:semiHidden/>
    <w:unhideWhenUsed/>
  </w:style>
  <w:style w:type="numbering" w:styleId="866" w:default="1">
    <w:name w:val="No List"/>
    <w:uiPriority w:val="99"/>
    <w:semiHidden/>
    <w:unhideWhenUsed/>
  </w:style>
  <w:style w:type="table" w:styleId="86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Relationship Id="rId10" Type="http://schemas.openxmlformats.org/officeDocument/2006/relationships/image" Target="media/image2.png"/><Relationship Id="rId11" Type="http://schemas.openxmlformats.org/officeDocument/2006/relationships/image" Target="media/image3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MoBIL GROUP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Администрация ТГП</dc:creator>
  <cp:revision>170</cp:revision>
  <dcterms:created xsi:type="dcterms:W3CDTF">2019-04-02T07:10:00Z</dcterms:created>
  <dcterms:modified xsi:type="dcterms:W3CDTF">2025-05-27T01:34:21Z</dcterms:modified>
  <cp:version>786432</cp:version>
</cp:coreProperties>
</file>