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2"/>
        <w:jc w:val="center"/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sz w:val="24"/>
          <w:szCs w:val="24"/>
          <w:highlight w:val="none"/>
        </w:rPr>
      </w:r>
    </w:p>
    <w:p>
      <w:pPr>
        <w:pStyle w:val="8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2"/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</w:t>
      </w:r>
      <w:r>
        <w:rPr>
          <w:b w:val="0"/>
          <w:bCs w:val="0"/>
          <w:sz w:val="24"/>
          <w:szCs w:val="24"/>
        </w:rPr>
        <w:t xml:space="preserve">05.06.</w:t>
      </w:r>
      <w:r>
        <w:rPr>
          <w:b w:val="0"/>
          <w:bCs w:val="0"/>
          <w:sz w:val="24"/>
          <w:szCs w:val="24"/>
        </w:rPr>
        <w:t xml:space="preserve">202</w:t>
      </w:r>
      <w:r>
        <w:rPr>
          <w:b w:val="0"/>
          <w:bCs w:val="0"/>
          <w:sz w:val="24"/>
          <w:szCs w:val="24"/>
        </w:rPr>
        <w:t xml:space="preserve">5г.</w:t>
      </w:r>
      <w:r>
        <w:rPr>
          <w:b w:val="0"/>
          <w:bCs w:val="0"/>
          <w:sz w:val="24"/>
          <w:szCs w:val="24"/>
        </w:rPr>
        <w:tab/>
        <w:tab/>
        <w:tab/>
        <w:tab/>
        <w:t xml:space="preserve">г.Тайшет</w:t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№</w:t>
      </w:r>
      <w:r>
        <w:rPr>
          <w:b w:val="0"/>
          <w:bCs w:val="0"/>
          <w:sz w:val="24"/>
          <w:szCs w:val="24"/>
        </w:rPr>
        <w:t xml:space="preserve">453</w:t>
      </w:r>
      <w:r>
        <w:rPr>
          <w:b w:val="0"/>
          <w:bCs w:val="0"/>
          <w:sz w:val="24"/>
          <w:szCs w:val="24"/>
        </w:rPr>
      </w:r>
    </w:p>
    <w:p>
      <w:pPr>
        <w:pStyle w:val="84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2"/>
        <w:ind w:right="4989"/>
        <w:jc w:val="both"/>
        <w:tabs>
          <w:tab w:val="left" w:pos="4320" w:leader="none"/>
        </w:tabs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О </w:t>
      </w:r>
      <w:r>
        <w:rPr>
          <w:b w:val="0"/>
          <w:bCs w:val="0"/>
          <w:sz w:val="24"/>
          <w:szCs w:val="24"/>
        </w:rPr>
        <w:t xml:space="preserve">признании участни</w:t>
      </w:r>
      <w:r>
        <w:rPr>
          <w:b w:val="0"/>
          <w:bCs w:val="0"/>
          <w:sz w:val="24"/>
          <w:szCs w:val="24"/>
        </w:rPr>
        <w:t xml:space="preserve">ками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муниципальной программы «Молодым семьям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-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доступное </w:t>
      </w:r>
      <w:r>
        <w:rPr>
          <w:b w:val="0"/>
          <w:bCs w:val="0"/>
          <w:sz w:val="24"/>
          <w:szCs w:val="24"/>
        </w:rPr>
        <w:t xml:space="preserve">жилье» на 2024-2026</w:t>
      </w:r>
      <w:r>
        <w:rPr>
          <w:b w:val="0"/>
          <w:bCs w:val="0"/>
          <w:sz w:val="24"/>
          <w:szCs w:val="24"/>
        </w:rPr>
        <w:t xml:space="preserve"> годы молодые семьи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Конотопцевых, Новицких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2"/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fldChar w:fldCharType="begin"/>
      </w:r>
      <w:r>
        <w:rPr>
          <w:b w:val="0"/>
          <w:bCs w:val="0"/>
          <w:sz w:val="24"/>
          <w:szCs w:val="24"/>
        </w:rPr>
        <w:instrText xml:space="preserve"> ASK  Фамилия Фамилия \o  \* MERGEFORMAT </w:instrText>
      </w:r>
      <w:r>
        <w:rPr>
          <w:b w:val="0"/>
          <w:bCs w:val="0"/>
          <w:sz w:val="24"/>
          <w:szCs w:val="24"/>
        </w:rPr>
        <w:fldChar w:fldCharType="end"/>
        <w:fldChar w:fldCharType="begin"/>
      </w:r>
      <w:r>
        <w:rPr>
          <w:b w:val="0"/>
          <w:bCs w:val="0"/>
          <w:sz w:val="24"/>
          <w:szCs w:val="24"/>
        </w:rPr>
        <w:instrText xml:space="preserve"> ASK  Фамилия  \* MERGEFORMAT </w:instrText>
      </w:r>
      <w:r>
        <w:rPr>
          <w:b w:val="0"/>
          <w:bCs w:val="0"/>
          <w:sz w:val="24"/>
          <w:szCs w:val="24"/>
        </w:rPr>
        <w:fldChar w:fldCharType="end"/>
      </w:r>
      <w:r>
        <w:rPr>
          <w:b w:val="0"/>
          <w:bCs w:val="0"/>
          <w:sz w:val="24"/>
          <w:szCs w:val="24"/>
        </w:rPr>
        <w:t xml:space="preserve">Во исполнение муниципальной программы «Молодым семьям</w:t>
      </w:r>
      <w:r>
        <w:rPr>
          <w:b w:val="0"/>
          <w:bCs w:val="0"/>
          <w:sz w:val="24"/>
          <w:szCs w:val="24"/>
        </w:rPr>
        <w:t xml:space="preserve"> – доступное жилье» на 2024-2026</w:t>
      </w:r>
      <w:r>
        <w:rPr>
          <w:b w:val="0"/>
          <w:bCs w:val="0"/>
          <w:sz w:val="24"/>
          <w:szCs w:val="24"/>
        </w:rPr>
        <w:t xml:space="preserve"> годы, утвержденной постановлением администрации Тайшетского городского </w:t>
      </w:r>
      <w:r>
        <w:rPr>
          <w:b w:val="0"/>
          <w:bCs w:val="0"/>
          <w:sz w:val="24"/>
          <w:szCs w:val="24"/>
        </w:rPr>
        <w:t xml:space="preserve">поселения от 28 мая 2024 года №455</w:t>
      </w:r>
      <w:r>
        <w:rPr>
          <w:b w:val="0"/>
          <w:bCs w:val="0"/>
          <w:sz w:val="24"/>
          <w:szCs w:val="24"/>
        </w:rPr>
        <w:t xml:space="preserve">, </w:t>
      </w:r>
      <w:r>
        <w:rPr>
          <w:b w:val="0"/>
          <w:bCs w:val="0"/>
          <w:sz w:val="24"/>
          <w:szCs w:val="24"/>
        </w:rPr>
        <w:t xml:space="preserve">протоколом №5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о</w:t>
      </w:r>
      <w:r>
        <w:rPr>
          <w:b w:val="0"/>
          <w:bCs w:val="0"/>
          <w:sz w:val="24"/>
          <w:szCs w:val="24"/>
        </w:rPr>
        <w:t xml:space="preserve">т 30 мая </w:t>
      </w:r>
      <w:r>
        <w:rPr>
          <w:b w:val="0"/>
          <w:bCs w:val="0"/>
          <w:sz w:val="24"/>
          <w:szCs w:val="24"/>
        </w:rPr>
        <w:t xml:space="preserve">2025</w:t>
      </w:r>
      <w:r>
        <w:rPr>
          <w:b w:val="0"/>
          <w:bCs w:val="0"/>
          <w:sz w:val="24"/>
          <w:szCs w:val="24"/>
        </w:rPr>
        <w:t xml:space="preserve"> года </w:t>
      </w:r>
      <w:r>
        <w:rPr>
          <w:b w:val="0"/>
          <w:bCs w:val="0"/>
          <w:sz w:val="24"/>
          <w:szCs w:val="24"/>
        </w:rPr>
        <w:t xml:space="preserve">комисс</w:t>
      </w:r>
      <w:r>
        <w:rPr>
          <w:b w:val="0"/>
          <w:bCs w:val="0"/>
          <w:sz w:val="24"/>
          <w:szCs w:val="24"/>
        </w:rPr>
        <w:t xml:space="preserve">ии по реализации муниципальной п</w:t>
      </w:r>
      <w:r>
        <w:rPr>
          <w:b w:val="0"/>
          <w:bCs w:val="0"/>
          <w:sz w:val="24"/>
          <w:szCs w:val="24"/>
        </w:rPr>
        <w:t xml:space="preserve">рограммы, </w:t>
      </w:r>
      <w:r>
        <w:rPr>
          <w:b w:val="0"/>
          <w:bCs w:val="0"/>
          <w:sz w:val="24"/>
          <w:szCs w:val="24"/>
        </w:rPr>
        <w:t xml:space="preserve">руководствуясь статьями 6, </w:t>
      </w:r>
      <w:r>
        <w:rPr>
          <w:b w:val="0"/>
          <w:bCs w:val="0"/>
          <w:sz w:val="24"/>
          <w:szCs w:val="24"/>
        </w:rPr>
        <w:t xml:space="preserve">46 </w:t>
      </w:r>
      <w:r>
        <w:rPr>
          <w:b w:val="0"/>
          <w:bCs w:val="0"/>
          <w:sz w:val="24"/>
          <w:szCs w:val="24"/>
        </w:rPr>
        <w:t xml:space="preserve">Устава Тайшетского муниципального образования </w:t>
      </w:r>
      <w:r>
        <w:rPr>
          <w:b w:val="0"/>
          <w:bCs w:val="0"/>
          <w:sz w:val="24"/>
          <w:szCs w:val="24"/>
        </w:rPr>
        <w:t xml:space="preserve">«Тайшетское городское поселение»,</w:t>
      </w:r>
      <w:r>
        <w:rPr>
          <w:b w:val="0"/>
          <w:bCs w:val="0"/>
          <w:sz w:val="24"/>
          <w:szCs w:val="24"/>
        </w:rPr>
        <w:t xml:space="preserve"> администрация Тайшетского городского поселения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2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Я Е Т: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ind w:firstLine="708"/>
        <w:jc w:val="both"/>
        <w:rPr>
          <w:szCs w:val="24"/>
        </w:rPr>
      </w:pPr>
      <w:r>
        <w:rPr>
          <w:szCs w:val="24"/>
        </w:rPr>
        <w:t xml:space="preserve">1. </w:t>
      </w:r>
      <w:r>
        <w:t xml:space="preserve">Признать </w:t>
      </w:r>
      <w:r>
        <w:t xml:space="preserve">участниками</w:t>
      </w:r>
      <w:r>
        <w:t xml:space="preserve"> </w:t>
      </w:r>
      <w:r>
        <w:t xml:space="preserve">муниципальной программы «Молодым семьям – доступное жилье» на 2</w:t>
      </w:r>
      <w:r>
        <w:t xml:space="preserve">024-2026</w:t>
      </w:r>
      <w:r>
        <w:t xml:space="preserve"> годы </w:t>
      </w:r>
      <w:r>
        <w:t xml:space="preserve">м</w:t>
      </w:r>
      <w:r>
        <w:t xml:space="preserve">олодые сем</w:t>
      </w:r>
      <w:r>
        <w:t xml:space="preserve">ь</w:t>
      </w:r>
      <w:r>
        <w:t xml:space="preserve">и</w:t>
      </w:r>
      <w:r>
        <w:t xml:space="preserve"> </w:t>
      </w:r>
      <w:r>
        <w:rPr>
          <w:szCs w:val="24"/>
        </w:rPr>
        <w:t xml:space="preserve">Конотопцевых, Новицких.</w:t>
      </w:r>
      <w:r>
        <w:rPr>
          <w:szCs w:val="24"/>
        </w:rPr>
      </w:r>
      <w:r>
        <w:rPr>
          <w:szCs w:val="24"/>
        </w:rPr>
      </w:r>
    </w:p>
    <w:p>
      <w:pPr>
        <w:pStyle w:val="842"/>
        <w:ind w:firstLine="708"/>
        <w:jc w:val="both"/>
      </w:pPr>
      <w:r>
        <w:rPr>
          <w:szCs w:val="24"/>
        </w:rPr>
        <w:t xml:space="preserve">2. Отделу по организационной работе, контролю и делопроизводству администрации Тайшетского городского поселения (Бычкова В.Д.) постав</w:t>
      </w:r>
      <w:r>
        <w:rPr>
          <w:szCs w:val="24"/>
        </w:rPr>
        <w:t xml:space="preserve">ить на учет в качест</w:t>
      </w:r>
      <w:r>
        <w:rPr>
          <w:szCs w:val="24"/>
        </w:rPr>
        <w:t xml:space="preserve">ве участников</w:t>
      </w:r>
      <w:r>
        <w:rPr>
          <w:szCs w:val="24"/>
        </w:rPr>
        <w:t xml:space="preserve"> п</w:t>
      </w:r>
      <w:r>
        <w:rPr>
          <w:szCs w:val="24"/>
        </w:rPr>
        <w:t xml:space="preserve">рограммы </w:t>
      </w:r>
      <w:r>
        <w:t xml:space="preserve">молодые сем</w:t>
      </w:r>
      <w:r>
        <w:t xml:space="preserve">ь</w:t>
      </w:r>
      <w:r>
        <w:t xml:space="preserve">и </w:t>
      </w:r>
      <w:r>
        <w:rPr>
          <w:szCs w:val="24"/>
        </w:rPr>
        <w:t xml:space="preserve">Конотопцевых, Новицких.</w:t>
      </w:r>
      <w:r>
        <w:rPr>
          <w:szCs w:val="24"/>
        </w:rPr>
      </w:r>
      <w:r/>
    </w:p>
    <w:p>
      <w:pPr>
        <w:pStyle w:val="842"/>
        <w:ind w:firstLine="709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ind w:right="-284" w:firstLine="709"/>
        <w:jc w:val="both"/>
        <w:tabs>
          <w:tab w:val="left" w:pos="9355" w:leader="none"/>
        </w:tabs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ind w:right="-284" w:firstLine="709"/>
        <w:jc w:val="both"/>
        <w:tabs>
          <w:tab w:val="left" w:pos="9355" w:leader="none"/>
        </w:tabs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ind w:right="-284" w:firstLine="709"/>
        <w:jc w:val="both"/>
        <w:tabs>
          <w:tab w:val="left" w:pos="9355" w:leader="none"/>
        </w:tabs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  <w:t xml:space="preserve">Главы</w:t>
      </w:r>
      <w:r>
        <w:rPr>
          <w:szCs w:val="24"/>
        </w:rPr>
        <w:t xml:space="preserve"> Тайшетского</w:t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  <w:t xml:space="preserve">городского поселения</w:t>
        <w:tab/>
        <w:tab/>
        <w:tab/>
        <w:tab/>
        <w:tab/>
        <w:tab/>
        <w:tab/>
        <w:t xml:space="preserve">Р.О Леоненко</w:t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jc w:val="both"/>
      </w:pPr>
      <w:r>
        <w:rPr>
          <w:szCs w:val="24"/>
        </w:rPr>
      </w:r>
      <w:r>
        <w:rPr>
          <w:szCs w:val="24"/>
        </w:rPr>
      </w:r>
    </w:p>
    <w:p>
      <w:pPr>
        <w:jc w:val="both"/>
      </w:pPr>
      <w:r/>
      <w:r/>
    </w:p>
    <w:p>
      <w:pPr>
        <w:jc w:val="both"/>
      </w:pPr>
      <w:r/>
      <w:r/>
    </w:p>
    <w:p>
      <w:pPr>
        <w:jc w:val="both"/>
      </w:pPr>
      <w:r/>
      <w:r/>
    </w:p>
    <w:p>
      <w:pPr>
        <w:jc w:val="both"/>
      </w:pPr>
      <w:r/>
      <w:r/>
    </w:p>
    <w:p>
      <w:pPr>
        <w:jc w:val="both"/>
      </w:pPr>
      <w:r/>
      <w:r/>
    </w:p>
    <w:p>
      <w:pPr>
        <w:jc w:val="both"/>
      </w:pPr>
      <w:r/>
      <w:r/>
    </w:p>
    <w:p>
      <w:pPr>
        <w:jc w:val="both"/>
      </w:pPr>
      <w:r/>
      <w:r/>
    </w:p>
    <w:p>
      <w:pPr>
        <w:pStyle w:val="842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pStyle w:val="842"/>
        <w:jc w:val="both"/>
        <w:rPr>
          <w:spacing w:val="-6"/>
          <w:szCs w:val="24"/>
        </w:rPr>
      </w:pPr>
      <w:r>
        <w:rPr>
          <w:szCs w:val="24"/>
        </w:rPr>
        <w:t xml:space="preserve">И</w:t>
      </w:r>
      <w:r>
        <w:rPr>
          <w:spacing w:val="-6"/>
          <w:szCs w:val="24"/>
        </w:rPr>
        <w:t xml:space="preserve">сп.: </w:t>
      </w:r>
      <w:r>
        <w:rPr>
          <w:spacing w:val="-6"/>
          <w:szCs w:val="24"/>
        </w:rPr>
        <w:t xml:space="preserve">Л.А</w:t>
      </w:r>
      <w:r>
        <w:rPr>
          <w:spacing w:val="-6"/>
          <w:szCs w:val="24"/>
        </w:rPr>
        <w:t xml:space="preserve">. Фа</w:t>
      </w:r>
      <w:r>
        <w:rPr>
          <w:spacing w:val="-6"/>
          <w:szCs w:val="24"/>
        </w:rPr>
        <w:t xml:space="preserve">с</w:t>
      </w:r>
      <w:r>
        <w:rPr>
          <w:spacing w:val="-6"/>
          <w:szCs w:val="24"/>
        </w:rPr>
        <w:t xml:space="preserve">сахова </w:t>
      </w:r>
      <w:r>
        <w:rPr>
          <w:spacing w:val="-6"/>
          <w:szCs w:val="24"/>
        </w:rPr>
      </w:r>
      <w:r>
        <w:rPr>
          <w:spacing w:val="-6"/>
          <w:szCs w:val="24"/>
        </w:rPr>
      </w:r>
    </w:p>
    <w:p>
      <w:pPr>
        <w:pStyle w:val="842"/>
        <w:jc w:val="both"/>
        <w:rPr>
          <w:spacing w:val="-6"/>
          <w:szCs w:val="24"/>
        </w:rPr>
      </w:pPr>
      <w:r>
        <w:rPr>
          <w:spacing w:val="-6"/>
          <w:szCs w:val="24"/>
        </w:rPr>
        <w:t xml:space="preserve">тел. </w:t>
      </w:r>
      <w:r>
        <w:rPr>
          <w:spacing w:val="-6"/>
          <w:szCs w:val="24"/>
        </w:rPr>
        <w:t xml:space="preserve">2-10-04</w:t>
      </w:r>
      <w:r>
        <w:rPr>
          <w:spacing w:val="-6"/>
          <w:szCs w:val="24"/>
        </w:rPr>
      </w:r>
      <w:r>
        <w:rPr>
          <w:spacing w:val="-6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5" w:hanging="360"/>
        <w:tabs>
          <w:tab w:val="num" w:pos="1785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5" w:hanging="180"/>
        <w:tabs>
          <w:tab w:val="num" w:pos="2505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5" w:hanging="360"/>
        <w:tabs>
          <w:tab w:val="num" w:pos="3225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5" w:hanging="360"/>
        <w:tabs>
          <w:tab w:val="num" w:pos="3945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5" w:hanging="180"/>
        <w:tabs>
          <w:tab w:val="num" w:pos="4665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5" w:hanging="360"/>
        <w:tabs>
          <w:tab w:val="num" w:pos="5385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5" w:hanging="360"/>
        <w:tabs>
          <w:tab w:val="num" w:pos="6105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5" w:hanging="180"/>
        <w:tabs>
          <w:tab w:val="num" w:pos="6825" w:leader="none"/>
        </w:tabs>
      </w:pPr>
      <w:rPr>
        <w:rFonts w:cs="Times New Roman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4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56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28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00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72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44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16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88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0" w:hanging="720"/>
        <w:tabs>
          <w:tab w:val="num" w:pos="120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560" w:hanging="360"/>
        <w:tabs>
          <w:tab w:val="num" w:pos="156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280" w:hanging="180"/>
        <w:tabs>
          <w:tab w:val="num" w:pos="228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000" w:hanging="360"/>
        <w:tabs>
          <w:tab w:val="num" w:pos="300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720" w:hanging="360"/>
        <w:tabs>
          <w:tab w:val="num" w:pos="372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440" w:hanging="180"/>
        <w:tabs>
          <w:tab w:val="num" w:pos="444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160" w:hanging="360"/>
        <w:tabs>
          <w:tab w:val="num" w:pos="516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880" w:hanging="360"/>
        <w:tabs>
          <w:tab w:val="num" w:pos="588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600" w:hanging="180"/>
        <w:tabs>
          <w:tab w:val="num" w:pos="6600" w:leader="none"/>
        </w:tabs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6">
    <w:name w:val="Heading 1"/>
    <w:basedOn w:val="842"/>
    <w:next w:val="842"/>
    <w:link w:val="66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7">
    <w:name w:val="Heading 1 Char"/>
    <w:link w:val="666"/>
    <w:uiPriority w:val="9"/>
    <w:rPr>
      <w:rFonts w:ascii="Arial" w:hAnsi="Arial" w:eastAsia="Arial" w:cs="Arial"/>
      <w:sz w:val="40"/>
      <w:szCs w:val="40"/>
    </w:rPr>
  </w:style>
  <w:style w:type="paragraph" w:styleId="668">
    <w:name w:val="Heading 2"/>
    <w:basedOn w:val="842"/>
    <w:next w:val="842"/>
    <w:link w:val="66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9">
    <w:name w:val="Heading 2 Char"/>
    <w:link w:val="668"/>
    <w:uiPriority w:val="9"/>
    <w:rPr>
      <w:rFonts w:ascii="Arial" w:hAnsi="Arial" w:eastAsia="Arial" w:cs="Arial"/>
      <w:sz w:val="34"/>
    </w:rPr>
  </w:style>
  <w:style w:type="paragraph" w:styleId="670">
    <w:name w:val="Heading 3"/>
    <w:basedOn w:val="842"/>
    <w:next w:val="842"/>
    <w:link w:val="67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1">
    <w:name w:val="Heading 3 Char"/>
    <w:link w:val="670"/>
    <w:uiPriority w:val="9"/>
    <w:rPr>
      <w:rFonts w:ascii="Arial" w:hAnsi="Arial" w:eastAsia="Arial" w:cs="Arial"/>
      <w:sz w:val="30"/>
      <w:szCs w:val="30"/>
    </w:rPr>
  </w:style>
  <w:style w:type="paragraph" w:styleId="672">
    <w:name w:val="Heading 4"/>
    <w:basedOn w:val="842"/>
    <w:next w:val="842"/>
    <w:link w:val="67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3">
    <w:name w:val="Heading 4 Char"/>
    <w:link w:val="672"/>
    <w:uiPriority w:val="9"/>
    <w:rPr>
      <w:rFonts w:ascii="Arial" w:hAnsi="Arial" w:eastAsia="Arial" w:cs="Arial"/>
      <w:b/>
      <w:bCs/>
      <w:sz w:val="26"/>
      <w:szCs w:val="26"/>
    </w:rPr>
  </w:style>
  <w:style w:type="paragraph" w:styleId="674">
    <w:name w:val="Heading 5"/>
    <w:basedOn w:val="842"/>
    <w:next w:val="842"/>
    <w:link w:val="67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5">
    <w:name w:val="Heading 5 Char"/>
    <w:link w:val="674"/>
    <w:uiPriority w:val="9"/>
    <w:rPr>
      <w:rFonts w:ascii="Arial" w:hAnsi="Arial" w:eastAsia="Arial" w:cs="Arial"/>
      <w:b/>
      <w:bCs/>
      <w:sz w:val="24"/>
      <w:szCs w:val="24"/>
    </w:rPr>
  </w:style>
  <w:style w:type="paragraph" w:styleId="676">
    <w:name w:val="Heading 6"/>
    <w:basedOn w:val="842"/>
    <w:next w:val="842"/>
    <w:link w:val="67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7">
    <w:name w:val="Heading 6 Char"/>
    <w:link w:val="676"/>
    <w:uiPriority w:val="9"/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842"/>
    <w:next w:val="842"/>
    <w:link w:val="67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9">
    <w:name w:val="Heading 7 Char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0">
    <w:name w:val="Heading 8"/>
    <w:basedOn w:val="842"/>
    <w:next w:val="842"/>
    <w:link w:val="68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1">
    <w:name w:val="Heading 8 Char"/>
    <w:link w:val="680"/>
    <w:uiPriority w:val="9"/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842"/>
    <w:next w:val="842"/>
    <w:link w:val="68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>
    <w:name w:val="Heading 9 Char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84">
    <w:name w:val="Title"/>
    <w:basedOn w:val="842"/>
    <w:next w:val="842"/>
    <w:link w:val="68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5">
    <w:name w:val="Title Char"/>
    <w:link w:val="684"/>
    <w:uiPriority w:val="10"/>
    <w:rPr>
      <w:sz w:val="48"/>
      <w:szCs w:val="48"/>
    </w:rPr>
  </w:style>
  <w:style w:type="paragraph" w:styleId="686">
    <w:name w:val="Subtitle"/>
    <w:basedOn w:val="842"/>
    <w:next w:val="842"/>
    <w:link w:val="687"/>
    <w:uiPriority w:val="11"/>
    <w:qFormat/>
    <w:pPr>
      <w:spacing w:before="200" w:after="200"/>
    </w:pPr>
    <w:rPr>
      <w:sz w:val="24"/>
      <w:szCs w:val="24"/>
    </w:rPr>
  </w:style>
  <w:style w:type="character" w:styleId="687">
    <w:name w:val="Subtitle Char"/>
    <w:link w:val="686"/>
    <w:uiPriority w:val="11"/>
    <w:rPr>
      <w:sz w:val="24"/>
      <w:szCs w:val="24"/>
    </w:rPr>
  </w:style>
  <w:style w:type="paragraph" w:styleId="688">
    <w:name w:val="Quote"/>
    <w:basedOn w:val="842"/>
    <w:next w:val="842"/>
    <w:link w:val="689"/>
    <w:uiPriority w:val="29"/>
    <w:qFormat/>
    <w:pPr>
      <w:ind w:left="720" w:right="720"/>
    </w:pPr>
    <w:rPr>
      <w:i/>
    </w:rPr>
  </w:style>
  <w:style w:type="character" w:styleId="689">
    <w:name w:val="Quote Char"/>
    <w:link w:val="688"/>
    <w:uiPriority w:val="29"/>
    <w:rPr>
      <w:i/>
    </w:rPr>
  </w:style>
  <w:style w:type="paragraph" w:styleId="690">
    <w:name w:val="Intense Quote"/>
    <w:basedOn w:val="842"/>
    <w:next w:val="842"/>
    <w:link w:val="69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1">
    <w:name w:val="Intense Quote Char"/>
    <w:link w:val="690"/>
    <w:uiPriority w:val="30"/>
    <w:rPr>
      <w:i/>
    </w:rPr>
  </w:style>
  <w:style w:type="paragraph" w:styleId="692">
    <w:name w:val="Header"/>
    <w:basedOn w:val="842"/>
    <w:link w:val="69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Header Char"/>
    <w:link w:val="692"/>
    <w:uiPriority w:val="99"/>
  </w:style>
  <w:style w:type="paragraph" w:styleId="694">
    <w:name w:val="Footer"/>
    <w:basedOn w:val="842"/>
    <w:link w:val="69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5">
    <w:name w:val="Footer Char"/>
    <w:link w:val="694"/>
    <w:uiPriority w:val="99"/>
  </w:style>
  <w:style w:type="paragraph" w:styleId="696">
    <w:name w:val="Caption"/>
    <w:basedOn w:val="842"/>
    <w:next w:val="84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7">
    <w:name w:val="Caption Char"/>
    <w:basedOn w:val="696"/>
    <w:link w:val="694"/>
    <w:uiPriority w:val="99"/>
  </w:style>
  <w:style w:type="table" w:styleId="69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4">
    <w:name w:val="Hyperlink"/>
    <w:uiPriority w:val="99"/>
    <w:unhideWhenUsed/>
    <w:rPr>
      <w:color w:val="0000ff" w:themeColor="hyperlink"/>
      <w:u w:val="single"/>
    </w:rPr>
  </w:style>
  <w:style w:type="paragraph" w:styleId="825">
    <w:name w:val="footnote text"/>
    <w:basedOn w:val="842"/>
    <w:link w:val="826"/>
    <w:uiPriority w:val="99"/>
    <w:semiHidden/>
    <w:unhideWhenUsed/>
    <w:pPr>
      <w:spacing w:after="40" w:line="240" w:lineRule="auto"/>
    </w:pPr>
    <w:rPr>
      <w:sz w:val="18"/>
    </w:rPr>
  </w:style>
  <w:style w:type="character" w:styleId="826">
    <w:name w:val="Footnote Text Char"/>
    <w:link w:val="825"/>
    <w:uiPriority w:val="99"/>
    <w:rPr>
      <w:sz w:val="18"/>
    </w:rPr>
  </w:style>
  <w:style w:type="character" w:styleId="827">
    <w:name w:val="footnote reference"/>
    <w:uiPriority w:val="99"/>
    <w:unhideWhenUsed/>
    <w:rPr>
      <w:vertAlign w:val="superscript"/>
    </w:rPr>
  </w:style>
  <w:style w:type="paragraph" w:styleId="828">
    <w:name w:val="endnote text"/>
    <w:basedOn w:val="842"/>
    <w:link w:val="829"/>
    <w:uiPriority w:val="99"/>
    <w:semiHidden/>
    <w:unhideWhenUsed/>
    <w:pPr>
      <w:spacing w:after="0" w:line="240" w:lineRule="auto"/>
    </w:pPr>
    <w:rPr>
      <w:sz w:val="20"/>
    </w:rPr>
  </w:style>
  <w:style w:type="character" w:styleId="829">
    <w:name w:val="Endnote Text Char"/>
    <w:link w:val="828"/>
    <w:uiPriority w:val="99"/>
    <w:rPr>
      <w:sz w:val="20"/>
    </w:rPr>
  </w:style>
  <w:style w:type="character" w:styleId="830">
    <w:name w:val="endnote reference"/>
    <w:uiPriority w:val="99"/>
    <w:semiHidden/>
    <w:unhideWhenUsed/>
    <w:rPr>
      <w:vertAlign w:val="superscript"/>
    </w:rPr>
  </w:style>
  <w:style w:type="paragraph" w:styleId="831">
    <w:name w:val="toc 1"/>
    <w:basedOn w:val="842"/>
    <w:next w:val="842"/>
    <w:uiPriority w:val="39"/>
    <w:unhideWhenUsed/>
    <w:pPr>
      <w:ind w:left="0" w:right="0" w:firstLine="0"/>
      <w:spacing w:after="57"/>
    </w:pPr>
  </w:style>
  <w:style w:type="paragraph" w:styleId="832">
    <w:name w:val="toc 2"/>
    <w:basedOn w:val="842"/>
    <w:next w:val="842"/>
    <w:uiPriority w:val="39"/>
    <w:unhideWhenUsed/>
    <w:pPr>
      <w:ind w:left="283" w:right="0" w:firstLine="0"/>
      <w:spacing w:after="57"/>
    </w:pPr>
  </w:style>
  <w:style w:type="paragraph" w:styleId="833">
    <w:name w:val="toc 3"/>
    <w:basedOn w:val="842"/>
    <w:next w:val="842"/>
    <w:uiPriority w:val="39"/>
    <w:unhideWhenUsed/>
    <w:pPr>
      <w:ind w:left="567" w:right="0" w:firstLine="0"/>
      <w:spacing w:after="57"/>
    </w:pPr>
  </w:style>
  <w:style w:type="paragraph" w:styleId="834">
    <w:name w:val="toc 4"/>
    <w:basedOn w:val="842"/>
    <w:next w:val="842"/>
    <w:uiPriority w:val="39"/>
    <w:unhideWhenUsed/>
    <w:pPr>
      <w:ind w:left="850" w:right="0" w:firstLine="0"/>
      <w:spacing w:after="57"/>
    </w:pPr>
  </w:style>
  <w:style w:type="paragraph" w:styleId="835">
    <w:name w:val="toc 5"/>
    <w:basedOn w:val="842"/>
    <w:next w:val="842"/>
    <w:uiPriority w:val="39"/>
    <w:unhideWhenUsed/>
    <w:pPr>
      <w:ind w:left="1134" w:right="0" w:firstLine="0"/>
      <w:spacing w:after="57"/>
    </w:pPr>
  </w:style>
  <w:style w:type="paragraph" w:styleId="836">
    <w:name w:val="toc 6"/>
    <w:basedOn w:val="842"/>
    <w:next w:val="842"/>
    <w:uiPriority w:val="39"/>
    <w:unhideWhenUsed/>
    <w:pPr>
      <w:ind w:left="1417" w:right="0" w:firstLine="0"/>
      <w:spacing w:after="57"/>
    </w:pPr>
  </w:style>
  <w:style w:type="paragraph" w:styleId="837">
    <w:name w:val="toc 7"/>
    <w:basedOn w:val="842"/>
    <w:next w:val="842"/>
    <w:uiPriority w:val="39"/>
    <w:unhideWhenUsed/>
    <w:pPr>
      <w:ind w:left="1701" w:right="0" w:firstLine="0"/>
      <w:spacing w:after="57"/>
    </w:pPr>
  </w:style>
  <w:style w:type="paragraph" w:styleId="838">
    <w:name w:val="toc 8"/>
    <w:basedOn w:val="842"/>
    <w:next w:val="842"/>
    <w:uiPriority w:val="39"/>
    <w:unhideWhenUsed/>
    <w:pPr>
      <w:ind w:left="1984" w:right="0" w:firstLine="0"/>
      <w:spacing w:after="57"/>
    </w:pPr>
  </w:style>
  <w:style w:type="paragraph" w:styleId="839">
    <w:name w:val="toc 9"/>
    <w:basedOn w:val="842"/>
    <w:next w:val="842"/>
    <w:uiPriority w:val="39"/>
    <w:unhideWhenUsed/>
    <w:pPr>
      <w:ind w:left="2268" w:right="0" w:firstLine="0"/>
      <w:spacing w:after="57"/>
    </w:pPr>
  </w:style>
  <w:style w:type="paragraph" w:styleId="840">
    <w:name w:val="TOC Heading"/>
    <w:uiPriority w:val="39"/>
    <w:unhideWhenUsed/>
  </w:style>
  <w:style w:type="paragraph" w:styleId="841">
    <w:name w:val="table of figures"/>
    <w:basedOn w:val="842"/>
    <w:next w:val="842"/>
    <w:uiPriority w:val="99"/>
    <w:unhideWhenUsed/>
    <w:pPr>
      <w:spacing w:after="0" w:afterAutospacing="0"/>
    </w:pPr>
  </w:style>
  <w:style w:type="paragraph" w:styleId="842" w:default="1">
    <w:name w:val="Normal"/>
    <w:next w:val="842"/>
    <w:link w:val="842"/>
    <w:qFormat/>
    <w:rPr>
      <w:sz w:val="24"/>
      <w:lang w:val="ru-RU" w:eastAsia="ru-RU" w:bidi="ar-SA"/>
    </w:rPr>
  </w:style>
  <w:style w:type="paragraph" w:styleId="843">
    <w:name w:val="Заголовок 3"/>
    <w:basedOn w:val="842"/>
    <w:next w:val="842"/>
    <w:link w:val="849"/>
    <w:qFormat/>
    <w:pPr>
      <w:jc w:val="both"/>
      <w:keepNext/>
      <w:outlineLvl w:val="2"/>
    </w:pPr>
  </w:style>
  <w:style w:type="character" w:styleId="844">
    <w:name w:val="Основной шрифт абзаца"/>
    <w:next w:val="844"/>
    <w:link w:val="842"/>
    <w:semiHidden/>
  </w:style>
  <w:style w:type="table" w:styleId="845">
    <w:name w:val="Обычная таблица"/>
    <w:next w:val="845"/>
    <w:link w:val="842"/>
    <w:semiHidden/>
    <w:tblPr/>
  </w:style>
  <w:style w:type="numbering" w:styleId="846">
    <w:name w:val="Нет списка"/>
    <w:next w:val="846"/>
    <w:link w:val="842"/>
    <w:semiHidden/>
  </w:style>
  <w:style w:type="paragraph" w:styleId="847">
    <w:name w:val="Основной текст"/>
    <w:basedOn w:val="842"/>
    <w:next w:val="847"/>
    <w:link w:val="848"/>
    <w:pPr>
      <w:jc w:val="both"/>
    </w:pPr>
    <w:rPr>
      <w:sz w:val="22"/>
    </w:rPr>
  </w:style>
  <w:style w:type="character" w:styleId="848">
    <w:name w:val="Основной текст Знак"/>
    <w:next w:val="848"/>
    <w:link w:val="847"/>
    <w:rPr>
      <w:sz w:val="22"/>
      <w:lang w:val="ru-RU" w:eastAsia="ru-RU" w:bidi="ar-SA"/>
    </w:rPr>
  </w:style>
  <w:style w:type="character" w:styleId="849">
    <w:name w:val="Заголовок 3 Знак"/>
    <w:next w:val="849"/>
    <w:link w:val="843"/>
    <w:rPr>
      <w:sz w:val="24"/>
      <w:lang w:val="ru-RU" w:eastAsia="ru-RU" w:bidi="ar-SA"/>
    </w:rPr>
  </w:style>
  <w:style w:type="paragraph" w:styleId="850">
    <w:name w:val="Текст выноски"/>
    <w:basedOn w:val="842"/>
    <w:next w:val="850"/>
    <w:link w:val="842"/>
    <w:semiHidden/>
    <w:rPr>
      <w:rFonts w:ascii="Tahoma" w:hAnsi="Tahoma" w:cs="Tahoma"/>
      <w:sz w:val="16"/>
      <w:szCs w:val="16"/>
    </w:rPr>
  </w:style>
  <w:style w:type="character" w:styleId="851">
    <w:name w:val="Заголовок №4 (3) + Интервал 3 pt"/>
    <w:next w:val="851"/>
    <w:link w:val="842"/>
    <w:rPr>
      <w:rFonts w:ascii="Times New Roman" w:hAnsi="Times New Roman" w:cs="Times New Roman"/>
      <w:b/>
      <w:bCs/>
      <w:spacing w:val="70"/>
      <w:sz w:val="27"/>
      <w:szCs w:val="27"/>
    </w:rPr>
  </w:style>
  <w:style w:type="paragraph" w:styleId="852">
    <w:name w:val="No Spacing"/>
    <w:next w:val="852"/>
    <w:link w:val="842"/>
    <w:rPr>
      <w:rFonts w:ascii="Tahoma" w:hAnsi="Tahoma" w:eastAsia="Calibri" w:cs="Tahoma"/>
      <w:color w:val="000000"/>
      <w:sz w:val="24"/>
      <w:szCs w:val="24"/>
      <w:lang w:val="ru-RU" w:eastAsia="ru-RU" w:bidi="ar-SA"/>
    </w:rPr>
  </w:style>
  <w:style w:type="character" w:styleId="853">
    <w:name w:val="st"/>
    <w:next w:val="853"/>
    <w:link w:val="842"/>
    <w:rPr>
      <w:rFonts w:cs="Times New Roman"/>
    </w:rPr>
  </w:style>
  <w:style w:type="character" w:styleId="854">
    <w:name w:val=" Знак Знак1"/>
    <w:next w:val="854"/>
    <w:link w:val="842"/>
    <w:rPr>
      <w:sz w:val="24"/>
      <w:lang w:val="ru-RU" w:eastAsia="ru-RU" w:bidi="ar-SA"/>
    </w:rPr>
  </w:style>
  <w:style w:type="paragraph" w:styleId="855">
    <w:name w:val="ConsPlusNormal"/>
    <w:next w:val="855"/>
    <w:link w:val="842"/>
    <w:rPr>
      <w:rFonts w:ascii="Arial" w:hAnsi="Arial" w:cs="Arial"/>
      <w:lang w:val="ru-RU" w:eastAsia="ru-RU" w:bidi="ar-SA"/>
    </w:rPr>
  </w:style>
  <w:style w:type="paragraph" w:styleId="856">
    <w:name w:val="Обычный (веб)"/>
    <w:basedOn w:val="842"/>
    <w:next w:val="856"/>
    <w:link w:val="842"/>
    <w:unhideWhenUsed/>
    <w:pPr>
      <w:spacing w:before="100" w:beforeAutospacing="1" w:after="100" w:afterAutospacing="1"/>
    </w:pPr>
    <w:rPr>
      <w:szCs w:val="24"/>
    </w:rPr>
  </w:style>
  <w:style w:type="paragraph" w:styleId="857">
    <w:name w:val="Нижний колонтитул"/>
    <w:basedOn w:val="842"/>
    <w:next w:val="857"/>
    <w:link w:val="858"/>
    <w:pPr>
      <w:spacing w:after="200" w:line="276" w:lineRule="auto"/>
      <w:tabs>
        <w:tab w:val="center" w:pos="4677" w:leader="none"/>
        <w:tab w:val="right" w:pos="9355" w:leader="none"/>
      </w:tabs>
    </w:pPr>
    <w:rPr>
      <w:rFonts w:ascii="Calibri" w:hAnsi="Calibri" w:cs="Calibri"/>
      <w:sz w:val="22"/>
      <w:szCs w:val="22"/>
    </w:rPr>
  </w:style>
  <w:style w:type="character" w:styleId="858">
    <w:name w:val="Нижний колонтитул Знак"/>
    <w:next w:val="858"/>
    <w:link w:val="857"/>
    <w:rPr>
      <w:rFonts w:ascii="Calibri" w:hAnsi="Calibri" w:cs="Calibri"/>
      <w:sz w:val="22"/>
      <w:szCs w:val="22"/>
      <w:lang w:val="ru-RU" w:eastAsia="ru-RU" w:bidi="ar-SA"/>
    </w:rPr>
  </w:style>
  <w:style w:type="character" w:styleId="859">
    <w:name w:val="Строгий"/>
    <w:next w:val="859"/>
    <w:link w:val="842"/>
    <w:qFormat/>
    <w:rPr>
      <w:b/>
      <w:bCs/>
    </w:rPr>
  </w:style>
  <w:style w:type="character" w:styleId="860">
    <w:name w:val="Номер страницы"/>
    <w:basedOn w:val="844"/>
    <w:next w:val="860"/>
    <w:link w:val="842"/>
  </w:style>
  <w:style w:type="paragraph" w:styleId="861">
    <w:name w:val="List Paragraph"/>
    <w:basedOn w:val="842"/>
    <w:next w:val="861"/>
    <w:link w:val="842"/>
    <w:pPr>
      <w:ind w:left="720"/>
    </w:pPr>
    <w:rPr>
      <w:rFonts w:eastAsia="Calibri"/>
      <w:szCs w:val="24"/>
    </w:rPr>
  </w:style>
  <w:style w:type="paragraph" w:styleId="862">
    <w:name w:val="ConsTitle"/>
    <w:next w:val="862"/>
    <w:link w:val="842"/>
    <w:pPr>
      <w:ind w:right="19772"/>
      <w:widowControl w:val="off"/>
    </w:pPr>
    <w:rPr>
      <w:rFonts w:ascii="Arial" w:hAnsi="Arial" w:cs="Arial"/>
      <w:b/>
      <w:bCs/>
      <w:lang w:val="ru-RU" w:eastAsia="ru-RU" w:bidi="ar-SA"/>
    </w:rPr>
  </w:style>
  <w:style w:type="character" w:styleId="863" w:default="1">
    <w:name w:val="Default Paragraph Font"/>
    <w:uiPriority w:val="1"/>
    <w:semiHidden/>
    <w:unhideWhenUsed/>
  </w:style>
  <w:style w:type="numbering" w:styleId="864" w:default="1">
    <w:name w:val="No List"/>
    <w:uiPriority w:val="99"/>
    <w:semiHidden/>
    <w:unhideWhenUsed/>
  </w:style>
  <w:style w:type="table" w:styleId="865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MoBIL GROUP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Orgotd3</dc:creator>
  <cp:revision>8</cp:revision>
  <dcterms:created xsi:type="dcterms:W3CDTF">2024-11-25T06:16:00Z</dcterms:created>
  <dcterms:modified xsi:type="dcterms:W3CDTF">2025-06-05T02:36:56Z</dcterms:modified>
  <cp:version>917504</cp:version>
</cp:coreProperties>
</file>