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Российская Федерация</w:t>
      </w:r>
      <w:r>
        <w:rPr>
          <w:b/>
          <w:sz w:val="24"/>
          <w:szCs w:val="24"/>
        </w:rPr>
      </w:r>
    </w:p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Иркутская область</w:t>
      </w:r>
      <w:r>
        <w:rPr>
          <w:b/>
          <w:sz w:val="24"/>
          <w:szCs w:val="24"/>
        </w:rPr>
      </w:r>
    </w:p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Муниципальное образование «Тайшетский район» </w:t>
      </w:r>
      <w:r>
        <w:rPr>
          <w:b/>
          <w:sz w:val="24"/>
          <w:szCs w:val="24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Тайшетское муниципальное образование</w:t>
      </w:r>
      <w:r>
        <w:rPr>
          <w:b/>
          <w:bCs/>
          <w:sz w:val="24"/>
          <w:szCs w:val="24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«Тайшетское городское поселение»</w:t>
      </w:r>
      <w:r>
        <w:rPr>
          <w:b/>
          <w:bCs/>
          <w:sz w:val="24"/>
          <w:szCs w:val="24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ТАЙШЕТСКОГО ГОРОДСКОГО ПОСЕЛЕНИЯ </w:t>
      </w:r>
      <w:r>
        <w:rPr>
          <w:b/>
          <w:sz w:val="28"/>
          <w:szCs w:val="28"/>
        </w:rPr>
      </w:r>
    </w:p>
    <w:p>
      <w:pPr>
        <w:jc w:val="center"/>
      </w:pPr>
      <w:r/>
      <w:r/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 О С Т А Н О В Л Е Н И Е</w:t>
      </w:r>
      <w:r>
        <w:rPr>
          <w:b/>
          <w:sz w:val="28"/>
          <w:szCs w:val="28"/>
        </w:rPr>
      </w:r>
    </w:p>
    <w:p>
      <w:pPr>
        <w:jc w:val="both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rPr>
          <w:sz w:val="24"/>
          <w:szCs w:val="24"/>
        </w:rPr>
      </w:pPr>
      <w:r>
        <w:t xml:space="preserve">От</w:t>
      </w:r>
      <w:r>
        <w:t xml:space="preserve"> 05.06.2025 г.</w:t>
        <w:tab/>
      </w:r>
      <w:r>
        <w:tab/>
      </w:r>
      <w:r>
        <w:tab/>
      </w:r>
      <w:r>
        <w:tab/>
        <w:t xml:space="preserve">г.</w:t>
      </w:r>
      <w:r>
        <w:t xml:space="preserve">Тайшет</w:t>
      </w:r>
      <w:r>
        <w:tab/>
      </w:r>
      <w:r>
        <w:tab/>
      </w:r>
      <w:r>
        <w:tab/>
      </w:r>
      <w:r>
        <w:tab/>
      </w:r>
      <w:r>
        <w:tab/>
      </w:r>
      <w:r>
        <w:rPr>
          <w:sz w:val="24"/>
          <w:szCs w:val="24"/>
        </w:rPr>
        <w:t xml:space="preserve">№456</w:t>
      </w:r>
      <w:r>
        <w:rPr>
          <w:sz w:val="24"/>
          <w:szCs w:val="24"/>
        </w:rPr>
      </w:r>
    </w:p>
    <w:p>
      <w:pPr>
        <w:ind w:right="5669"/>
        <w:jc w:val="both"/>
        <w:rPr>
          <w:sz w:val="24"/>
          <w:szCs w:val="24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right="4989"/>
        <w:jc w:val="both"/>
        <w:rPr>
          <w:sz w:val="24"/>
          <w:szCs w:val="24"/>
          <w:highlight w:val="none"/>
        </w:rPr>
        <w:suppressLineNumbers w:val="0"/>
      </w:pPr>
      <w:r>
        <w:rPr>
          <w:sz w:val="24"/>
          <w:szCs w:val="24"/>
        </w:rPr>
        <w:t xml:space="preserve">О внесении изменений в постановление администрации Тайшетского городского поселения от </w:t>
      </w:r>
      <w:r>
        <w:rPr>
          <w:sz w:val="24"/>
          <w:szCs w:val="24"/>
        </w:rPr>
        <w:t xml:space="preserve">25</w:t>
      </w:r>
      <w:r>
        <w:rPr>
          <w:sz w:val="24"/>
          <w:szCs w:val="24"/>
        </w:rPr>
        <w:t xml:space="preserve"> декабря 20</w:t>
      </w:r>
      <w:r>
        <w:rPr>
          <w:sz w:val="24"/>
          <w:szCs w:val="24"/>
        </w:rPr>
        <w:t xml:space="preserve">24</w:t>
      </w:r>
      <w:r>
        <w:rPr>
          <w:sz w:val="24"/>
          <w:szCs w:val="24"/>
        </w:rPr>
        <w:t xml:space="preserve"> года №</w:t>
      </w:r>
      <w:r>
        <w:rPr>
          <w:sz w:val="24"/>
          <w:szCs w:val="24"/>
        </w:rPr>
        <w:t xml:space="preserve">1215</w:t>
      </w:r>
      <w:r>
        <w:rPr>
          <w:sz w:val="24"/>
          <w:szCs w:val="24"/>
        </w:rPr>
      </w:r>
    </w:p>
    <w:p>
      <w:pPr>
        <w:jc w:val="both"/>
        <w:tabs>
          <w:tab w:val="left" w:pos="4395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Руководствуясь статьями 6, 38 Устава Тайшетского муниципального образования «Тайшетское городское поселение», Порядком формирования и финансового обеспечения муниципального задания</w:t>
      </w:r>
      <w:r>
        <w:rPr>
          <w:sz w:val="24"/>
          <w:szCs w:val="24"/>
        </w:rPr>
        <w:t xml:space="preserve"> на оказание муниципальных услуг (выполнение работ) бюджетным учреждением Тайшетского городского поселения, утвержденным постановлением администрации Тайшетского городского поселения от 20 июня 2017 года №713, администрация Тайшетского городского поселения</w:t>
      </w:r>
      <w:r>
        <w:rPr>
          <w:sz w:val="24"/>
          <w:szCs w:val="24"/>
        </w:rPr>
      </w:r>
    </w:p>
    <w:p>
      <w:pPr>
        <w:pStyle w:val="8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 О С Т А Н О В Л Я Е Т: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9"/>
        <w:jc w:val="both"/>
      </w:pPr>
      <w:r>
        <w:rPr>
          <w:highlight w:val="none"/>
        </w:rPr>
      </w:r>
      <w:r>
        <w:rPr>
          <w:highlight w:val="none"/>
        </w:rPr>
      </w:r>
    </w:p>
    <w:p>
      <w:pPr>
        <w:ind w:firstLine="720"/>
        <w:jc w:val="both"/>
        <w:rPr>
          <w:highlight w:val="none"/>
        </w:rPr>
        <w:suppressLineNumbers w:val="0"/>
      </w:pPr>
      <w:r>
        <w:t xml:space="preserve">1. </w:t>
      </w:r>
      <w:r>
        <w:t xml:space="preserve">Внести в приложение к постановлению администрации Тайшетского городского поселения от </w:t>
      </w:r>
      <w:r>
        <w:t xml:space="preserve">25</w:t>
      </w:r>
      <w:r>
        <w:t xml:space="preserve"> декабря 20</w:t>
      </w:r>
      <w:r>
        <w:t xml:space="preserve">24</w:t>
      </w:r>
      <w:r>
        <w:t xml:space="preserve"> года №</w:t>
      </w:r>
      <w:r>
        <w:t xml:space="preserve">1215</w:t>
      </w:r>
      <w:r>
        <w:t xml:space="preserve"> «Об утверждении нормативных затрат на оказание муниципальных услуг, работ для муниципального бюджетного учреждения «Городское хозяйство на 202</w:t>
      </w:r>
      <w:r>
        <w:t xml:space="preserve">5</w:t>
      </w:r>
      <w:r>
        <w:t xml:space="preserve"> год» следующие изменения:</w:t>
      </w:r>
      <w:r/>
    </w:p>
    <w:p>
      <w:pPr>
        <w:ind w:firstLine="720"/>
        <w:jc w:val="both"/>
        <w:suppressLineNumbers w:val="0"/>
      </w:pPr>
      <w:r>
        <w:rPr>
          <w:szCs w:val="24"/>
        </w:rPr>
        <w:t xml:space="preserve">1.1. </w:t>
      </w:r>
      <w:r>
        <w:rPr>
          <w:bCs/>
          <w:caps/>
          <w:color w:val="000000"/>
          <w:szCs w:val="24"/>
        </w:rPr>
        <w:t xml:space="preserve">Раздел 1. </w:t>
      </w:r>
      <w:r>
        <w:rPr>
          <w:szCs w:val="24"/>
        </w:rPr>
        <w:t xml:space="preserve">«</w:t>
      </w:r>
      <w:r>
        <w:rPr>
          <w:bCs/>
          <w:color w:val="000000"/>
          <w:szCs w:val="24"/>
        </w:rPr>
        <w:t xml:space="preserve">Текущее содержание улично-дорожной сети </w:t>
      </w:r>
      <w:r>
        <w:rPr>
          <w:bCs/>
          <w:color w:val="000000"/>
          <w:szCs w:val="24"/>
          <w:lang w:eastAsia="en-US"/>
        </w:rPr>
        <w:t xml:space="preserve">на территории Тайшетского муниципального образования «Тайшетское городское поселение» </w:t>
      </w:r>
      <w:r>
        <w:rPr>
          <w:bCs/>
          <w:color w:val="000000"/>
          <w:szCs w:val="24"/>
        </w:rPr>
        <w:t xml:space="preserve">на 2025 год»</w:t>
      </w:r>
      <w:r>
        <w:rPr>
          <w:szCs w:val="24"/>
        </w:rPr>
        <w:t xml:space="preserve">, </w:t>
      </w:r>
      <w:r>
        <w:t xml:space="preserve">изложить в новой редакции, </w:t>
      </w:r>
      <w:r>
        <w:rPr>
          <w:szCs w:val="24"/>
        </w:rPr>
        <w:t xml:space="preserve">согласно приложению 1, к настоящему постановлению.</w:t>
      </w:r>
      <w:r/>
    </w:p>
    <w:p>
      <w:pPr>
        <w:ind w:firstLine="720"/>
        <w:jc w:val="both"/>
        <w:rPr>
          <w:szCs w:val="24"/>
        </w:rPr>
        <w:suppressLineNumbers w:val="0"/>
      </w:pPr>
      <w:r>
        <w:rPr>
          <w:bCs/>
          <w:caps/>
          <w:color w:val="000000"/>
          <w:szCs w:val="24"/>
        </w:rPr>
        <w:t xml:space="preserve">1.2. РАЗДЕЛ 2. «</w:t>
      </w:r>
      <w:r>
        <w:rPr>
          <w:bCs/>
          <w:color w:val="000000"/>
          <w:szCs w:val="24"/>
        </w:rPr>
        <w:t xml:space="preserve">Выполнение комплекса работ по содержанию мест захоронения </w:t>
      </w:r>
      <w:r>
        <w:rPr>
          <w:bCs/>
          <w:color w:val="000000"/>
          <w:szCs w:val="24"/>
          <w:lang w:eastAsia="en-US"/>
        </w:rPr>
        <w:t xml:space="preserve">на территории Тайшетского муниципального образования «Тайшетское городское поселение» </w:t>
      </w:r>
      <w:r>
        <w:rPr>
          <w:bCs/>
          <w:color w:val="000000"/>
          <w:szCs w:val="24"/>
        </w:rPr>
        <w:t xml:space="preserve">на 2025 год</w:t>
      </w:r>
      <w:r>
        <w:rPr>
          <w:bCs/>
          <w:color w:val="000000"/>
          <w:szCs w:val="24"/>
          <w:lang w:eastAsia="en-US"/>
        </w:rPr>
        <w:t xml:space="preserve">», </w:t>
      </w:r>
      <w:r>
        <w:t xml:space="preserve">изложить в новой редакции</w:t>
      </w:r>
      <w:r>
        <w:rPr>
          <w:szCs w:val="24"/>
        </w:rPr>
        <w:t xml:space="preserve">, </w:t>
      </w:r>
      <w:r>
        <w:rPr>
          <w:szCs w:val="24"/>
        </w:rPr>
        <w:t xml:space="preserve">согласно приложению 2, к настоящему постановлению.</w:t>
      </w:r>
      <w:r>
        <w:rPr>
          <w:szCs w:val="24"/>
        </w:rPr>
      </w:r>
    </w:p>
    <w:p>
      <w:pPr>
        <w:contextualSpacing/>
        <w:ind w:right="-144" w:firstLine="720"/>
        <w:jc w:val="both"/>
        <w:tabs>
          <w:tab w:val="left" w:pos="1418" w:leader="none"/>
        </w:tabs>
        <w:rPr>
          <w:bCs/>
          <w:color w:val="000000"/>
          <w:szCs w:val="24"/>
        </w:rPr>
        <w:suppressLineNumbers w:val="0"/>
      </w:pPr>
      <w:r>
        <w:rPr>
          <w:szCs w:val="24"/>
        </w:rPr>
        <w:t xml:space="preserve">1.3. </w:t>
      </w:r>
      <w:r>
        <w:rPr>
          <w:bCs/>
          <w:caps/>
          <w:color w:val="000000"/>
          <w:szCs w:val="24"/>
        </w:rPr>
        <w:t xml:space="preserve">Раздел 3. </w:t>
      </w:r>
      <w:r>
        <w:rPr>
          <w:szCs w:val="24"/>
        </w:rPr>
        <w:t xml:space="preserve">«</w:t>
      </w:r>
      <w:r>
        <w:rPr>
          <w:szCs w:val="24"/>
          <w:lang w:eastAsia="en-US"/>
        </w:rPr>
        <w:t xml:space="preserve">Выполнение работ по текущему содержанию скверов </w:t>
      </w:r>
      <w:r>
        <w:rPr>
          <w:bCs/>
          <w:color w:val="000000"/>
          <w:szCs w:val="24"/>
          <w:lang w:eastAsia="en-US"/>
        </w:rPr>
        <w:t xml:space="preserve">на территории Тайшетского муниципального образования «Тайшетское городское поселение» </w:t>
      </w:r>
      <w:r>
        <w:rPr>
          <w:szCs w:val="24"/>
          <w:lang w:eastAsia="en-US"/>
        </w:rPr>
        <w:t xml:space="preserve">на 2025 год</w:t>
      </w:r>
      <w:r>
        <w:rPr>
          <w:bCs/>
          <w:color w:val="000000"/>
          <w:szCs w:val="24"/>
          <w:lang w:eastAsia="en-US"/>
        </w:rPr>
        <w:t xml:space="preserve">»</w:t>
      </w:r>
      <w:r>
        <w:rPr>
          <w:szCs w:val="24"/>
        </w:rPr>
        <w:t xml:space="preserve">, </w:t>
      </w:r>
      <w:r>
        <w:t xml:space="preserve">изложить в новой редакции</w:t>
      </w:r>
      <w:r>
        <w:rPr>
          <w:szCs w:val="24"/>
        </w:rPr>
        <w:t xml:space="preserve">, </w:t>
      </w:r>
      <w:r>
        <w:rPr>
          <w:szCs w:val="24"/>
        </w:rPr>
        <w:t xml:space="preserve">согласно приложению 3, к настоящему постановлению.</w:t>
      </w:r>
      <w:r>
        <w:rPr>
          <w:bCs/>
          <w:color w:val="000000"/>
          <w:szCs w:val="24"/>
        </w:rPr>
      </w:r>
    </w:p>
    <w:p>
      <w:pPr>
        <w:contextualSpacing/>
        <w:ind w:right="-144" w:firstLine="720"/>
        <w:jc w:val="both"/>
        <w:tabs>
          <w:tab w:val="left" w:pos="1418" w:leader="none"/>
        </w:tabs>
        <w:rPr>
          <w:bCs/>
          <w:color w:val="000000"/>
          <w:szCs w:val="24"/>
        </w:rPr>
        <w:suppressLineNumbers w:val="0"/>
      </w:pPr>
      <w:r>
        <w:rPr>
          <w:szCs w:val="24"/>
        </w:rPr>
        <w:t xml:space="preserve">1.4. </w:t>
      </w:r>
      <w:r>
        <w:rPr>
          <w:bCs/>
          <w:caps/>
          <w:color w:val="000000"/>
          <w:szCs w:val="24"/>
        </w:rPr>
        <w:t xml:space="preserve">Раздел 4. </w:t>
      </w:r>
      <w:r>
        <w:rPr>
          <w:szCs w:val="24"/>
        </w:rPr>
        <w:t xml:space="preserve">«</w:t>
      </w:r>
      <w:r>
        <w:rPr>
          <w:szCs w:val="24"/>
          <w:lang w:eastAsia="en-US"/>
        </w:rPr>
        <w:t xml:space="preserve">Выполнение работ по ликвидации несанкционированных свалок, уборка и вывоз мусора с мест общего пользования на территории Тайшетского муниципального образования «Тайшетское городское поселение» на 2025 год</w:t>
      </w:r>
      <w:r>
        <w:rPr>
          <w:szCs w:val="24"/>
        </w:rPr>
        <w:t xml:space="preserve">»,</w:t>
      </w:r>
      <w:r>
        <w:t xml:space="preserve"> </w:t>
      </w:r>
      <w:r>
        <w:t xml:space="preserve">изложить в новой редакции</w:t>
      </w:r>
      <w:r>
        <w:t xml:space="preserve">,</w:t>
      </w:r>
      <w:r>
        <w:rPr>
          <w:szCs w:val="24"/>
        </w:rPr>
        <w:t xml:space="preserve"> согласно приложению 4, к настоящему постановлению.</w:t>
      </w:r>
      <w:r>
        <w:rPr>
          <w:bCs/>
          <w:color w:val="000000"/>
          <w:szCs w:val="24"/>
        </w:rPr>
      </w:r>
    </w:p>
    <w:p>
      <w:pPr>
        <w:contextualSpacing/>
        <w:ind w:right="-144" w:firstLine="720"/>
        <w:jc w:val="both"/>
        <w:tabs>
          <w:tab w:val="left" w:pos="1418" w:leader="none"/>
        </w:tabs>
        <w:rPr>
          <w:bCs/>
          <w:color w:val="000000"/>
          <w:szCs w:val="24"/>
        </w:rPr>
        <w:suppressLineNumbers w:val="0"/>
      </w:pPr>
      <w:r>
        <w:rPr>
          <w:szCs w:val="24"/>
        </w:rPr>
        <w:t xml:space="preserve">1.5. </w:t>
      </w:r>
      <w:r>
        <w:rPr>
          <w:bCs/>
          <w:caps/>
          <w:color w:val="000000"/>
          <w:szCs w:val="24"/>
        </w:rPr>
        <w:t xml:space="preserve">Раздел 5. </w:t>
      </w:r>
      <w:r>
        <w:rPr>
          <w:szCs w:val="24"/>
        </w:rPr>
        <w:t xml:space="preserve">«Выполнение работ по выкосу травы на территории города на 2025 год, </w:t>
      </w:r>
      <w:r>
        <w:rPr>
          <w:szCs w:val="24"/>
          <w:lang w:eastAsia="en-US"/>
        </w:rPr>
        <w:t xml:space="preserve">на территории Тайшетского муниципального образования «Тайшетское городское поселение»,</w:t>
      </w:r>
      <w:r>
        <w:t xml:space="preserve"> </w:t>
      </w:r>
      <w:r>
        <w:t xml:space="preserve">изложить в новой редакции</w:t>
      </w:r>
      <w:r>
        <w:t xml:space="preserve">,</w:t>
      </w:r>
      <w:r>
        <w:rPr>
          <w:szCs w:val="24"/>
        </w:rPr>
        <w:t xml:space="preserve"> согласно приложению 5, к настоящему постановлению.</w:t>
      </w:r>
      <w:r>
        <w:rPr>
          <w:bCs/>
          <w:color w:val="000000"/>
          <w:szCs w:val="24"/>
        </w:rPr>
      </w:r>
    </w:p>
    <w:p>
      <w:pPr>
        <w:contextualSpacing/>
        <w:ind w:right="-144" w:firstLine="720"/>
        <w:jc w:val="both"/>
        <w:tabs>
          <w:tab w:val="left" w:pos="1418" w:leader="none"/>
        </w:tabs>
        <w:rPr>
          <w:bCs/>
          <w:color w:val="000000"/>
          <w:szCs w:val="24"/>
        </w:rPr>
        <w:suppressLineNumbers w:val="0"/>
      </w:pPr>
      <w:r>
        <w:rPr>
          <w:szCs w:val="24"/>
        </w:rPr>
        <w:t xml:space="preserve">1.6. </w:t>
      </w:r>
      <w:r>
        <w:rPr>
          <w:bCs/>
          <w:caps/>
          <w:color w:val="000000"/>
          <w:szCs w:val="24"/>
        </w:rPr>
        <w:t xml:space="preserve">Раздел 6. </w:t>
      </w:r>
      <w:r>
        <w:rPr>
          <w:szCs w:val="24"/>
        </w:rPr>
        <w:t xml:space="preserve">«Выполнение комплекса работ по содержанию и ремонту фонтанов, находящихся в местах общего пользования на 2025 год на территории Тайшетского муниципального образования «Тайшетское городское поселение»,</w:t>
      </w:r>
      <w:r>
        <w:t xml:space="preserve"> </w:t>
      </w:r>
      <w:r>
        <w:t xml:space="preserve">изложить в новой редакции</w:t>
      </w:r>
      <w:r>
        <w:t xml:space="preserve">,</w:t>
      </w:r>
      <w:r>
        <w:rPr>
          <w:szCs w:val="24"/>
        </w:rPr>
        <w:t xml:space="preserve"> согласно приложению 6, к настоящему постановлению.</w:t>
      </w:r>
      <w:r>
        <w:rPr>
          <w:bCs/>
          <w:color w:val="000000"/>
          <w:szCs w:val="24"/>
        </w:rPr>
      </w:r>
    </w:p>
    <w:p>
      <w:pPr>
        <w:ind w:firstLine="720"/>
        <w:jc w:val="both"/>
        <w:rPr>
          <w:szCs w:val="24"/>
        </w:rPr>
        <w:suppressLineNumbers w:val="0"/>
      </w:pPr>
      <w:r>
        <w:rPr>
          <w:szCs w:val="24"/>
        </w:rPr>
        <w:t xml:space="preserve">2. Отделу по организационной работе, контролю и делопроизводству администрации Тайшетского городского поселения (Бычкова В.Д.) обеспечить опубликование настоящего постановления.</w:t>
      </w:r>
      <w:r>
        <w:rPr>
          <w:szCs w:val="24"/>
        </w:rPr>
      </w:r>
    </w:p>
    <w:p>
      <w:pPr>
        <w:pStyle w:val="865"/>
        <w:ind w:left="0" w:firstLine="720"/>
        <w:jc w:val="both"/>
        <w:spacing w:after="0" w:line="240" w:lineRule="auto"/>
        <w:rPr>
          <w:rFonts w:ascii="Times New Roman" w:hAnsi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/>
          <w:sz w:val="24"/>
          <w:szCs w:val="24"/>
        </w:rPr>
        <w:t xml:space="preserve">3.</w:t>
      </w:r>
      <w:r>
        <w:rPr>
          <w:rFonts w:ascii="Times New Roman" w:hAnsi="Times New Roman" w:eastAsia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 w:eastAsia="Times New Roman"/>
          <w:sz w:val="24"/>
          <w:szCs w:val="24"/>
        </w:rPr>
        <w:t xml:space="preserve">Контроль за исполнением  настоящего постановления оставляю за собой.</w:t>
      </w:r>
      <w:r>
        <w:rPr>
          <w:rFonts w:ascii="Times New Roman" w:hAnsi="Times New Roman"/>
          <w:sz w:val="24"/>
          <w:szCs w:val="24"/>
        </w:rPr>
      </w:r>
    </w:p>
    <w:p>
      <w:pPr>
        <w:jc w:val="both"/>
      </w:pPr>
      <w:r>
        <w:rPr>
          <w:szCs w:val="24"/>
          <w:highlight w:val="none"/>
        </w:rPr>
      </w:r>
      <w:r>
        <w:rPr>
          <w:szCs w:val="24"/>
          <w:highlight w:val="none"/>
        </w:rPr>
      </w:r>
    </w:p>
    <w:p>
      <w:pPr>
        <w:jc w:val="both"/>
        <w:rPr>
          <w:highlight w:val="none"/>
        </w:rPr>
      </w:pPr>
      <w:r>
        <w:rPr>
          <w:szCs w:val="24"/>
          <w:highlight w:val="none"/>
        </w:rPr>
      </w:r>
      <w:r>
        <w:rPr>
          <w:szCs w:val="24"/>
          <w:highlight w:val="none"/>
        </w:rPr>
      </w:r>
    </w:p>
    <w:p>
      <w:pPr>
        <w:jc w:val="both"/>
        <w:rPr>
          <w:highlight w:val="none"/>
        </w:rPr>
      </w:pPr>
      <w:r>
        <w:rPr>
          <w:szCs w:val="24"/>
          <w:highlight w:val="none"/>
        </w:rPr>
      </w:r>
      <w:r>
        <w:rPr>
          <w:szCs w:val="24"/>
          <w:highlight w:val="none"/>
        </w:rPr>
      </w:r>
    </w:p>
    <w:p>
      <w:pPr>
        <w:jc w:val="both"/>
        <w:rPr>
          <w:highlight w:val="none"/>
        </w:rPr>
      </w:pPr>
      <w:r>
        <w:rPr>
          <w:szCs w:val="24"/>
          <w:highlight w:val="none"/>
        </w:rPr>
      </w:r>
      <w:r>
        <w:rPr>
          <w:szCs w:val="24"/>
          <w:highlight w:val="none"/>
        </w:rPr>
      </w:r>
    </w:p>
    <w:p>
      <w:pPr>
        <w:jc w:val="both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Глава</w:t>
      </w:r>
      <w:r>
        <w:rPr>
          <w:sz w:val="24"/>
          <w:szCs w:val="24"/>
        </w:rPr>
        <w:t xml:space="preserve"> Тайшетского</w:t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городского поселения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 xml:space="preserve">Р.О. Леоненко</w:t>
      </w:r>
      <w:r>
        <w:rPr>
          <w:sz w:val="24"/>
          <w:szCs w:val="24"/>
        </w:rPr>
      </w:r>
    </w:p>
    <w:p>
      <w:pPr>
        <w:jc w:val="both"/>
        <w:rPr>
          <w:spacing w:val="-6"/>
          <w:sz w:val="24"/>
          <w:szCs w:val="24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pacing w:val="-6"/>
          <w:sz w:val="24"/>
          <w:szCs w:val="24"/>
          <w:highlight w:val="none"/>
        </w:rPr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  <w:highlight w:val="none"/>
        </w:rPr>
      </w:pPr>
      <w:r>
        <w:rPr>
          <w:sz w:val="24"/>
          <w:szCs w:val="24"/>
        </w:rPr>
        <w:t xml:space="preserve">И</w:t>
      </w:r>
      <w:r>
        <w:rPr>
          <w:spacing w:val="-6"/>
          <w:sz w:val="24"/>
          <w:szCs w:val="24"/>
        </w:rPr>
        <w:t xml:space="preserve">сп.: Буряк О.М.</w:t>
      </w:r>
      <w:r>
        <w:rPr>
          <w:spacing w:val="-6"/>
          <w:sz w:val="24"/>
          <w:szCs w:val="24"/>
          <w:highlight w:val="none"/>
        </w:rPr>
      </w:r>
    </w:p>
    <w:p>
      <w:pPr>
        <w:jc w:val="both"/>
        <w:rPr>
          <w:spacing w:val="-6"/>
          <w:sz w:val="24"/>
          <w:szCs w:val="24"/>
        </w:rPr>
      </w:pPr>
      <w:r>
        <w:rPr>
          <w:spacing w:val="-6"/>
          <w:sz w:val="24"/>
          <w:szCs w:val="24"/>
        </w:rPr>
        <w:t xml:space="preserve">тел. 2-05-51</w:t>
      </w:r>
      <w:r>
        <w:rPr>
          <w:spacing w:val="-6"/>
          <w:sz w:val="24"/>
          <w:szCs w:val="24"/>
        </w:rPr>
      </w:r>
    </w:p>
    <w:p>
      <w:pPr>
        <w:jc w:val="right"/>
        <w:rPr>
          <w:spacing w:val="-6"/>
          <w:szCs w:val="24"/>
        </w:rPr>
      </w:pPr>
      <w:r>
        <w:rPr>
          <w:szCs w:val="24"/>
        </w:rPr>
        <w:t xml:space="preserve">Приложение 1</w:t>
      </w:r>
      <w:r>
        <w:rPr>
          <w:spacing w:val="-6"/>
          <w:szCs w:val="24"/>
        </w:rPr>
      </w:r>
    </w:p>
    <w:p>
      <w:pPr>
        <w:jc w:val="right"/>
        <w:rPr>
          <w:szCs w:val="24"/>
        </w:rPr>
      </w:pPr>
      <w:r>
        <w:rPr>
          <w:szCs w:val="24"/>
        </w:rPr>
        <w:t xml:space="preserve">к постановлению администрации</w:t>
      </w:r>
      <w:r>
        <w:rPr>
          <w:szCs w:val="24"/>
        </w:rPr>
      </w:r>
    </w:p>
    <w:p>
      <w:pPr>
        <w:jc w:val="right"/>
        <w:rPr>
          <w:szCs w:val="24"/>
        </w:rPr>
      </w:pPr>
      <w:r>
        <w:rPr>
          <w:szCs w:val="24"/>
        </w:rPr>
        <w:t xml:space="preserve">Тайшетского городского поселения</w:t>
      </w:r>
      <w:r>
        <w:rPr>
          <w:szCs w:val="24"/>
        </w:rPr>
      </w:r>
    </w:p>
    <w:p>
      <w:pPr>
        <w:jc w:val="right"/>
        <w:rPr>
          <w:szCs w:val="24"/>
        </w:rPr>
      </w:pPr>
      <w:r>
        <w:rPr>
          <w:szCs w:val="24"/>
        </w:rPr>
        <w:t xml:space="preserve">от 05июня 2025 года №456</w:t>
      </w:r>
      <w:r>
        <w:rPr>
          <w:szCs w:val="24"/>
        </w:rPr>
      </w:r>
    </w:p>
    <w:p>
      <w:pPr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contextualSpacing/>
        <w:jc w:val="center"/>
        <w:rPr>
          <w:rFonts w:eastAsia="Calibri"/>
          <w:bCs/>
          <w:caps/>
          <w:color w:val="000000"/>
          <w:szCs w:val="24"/>
          <w:lang w:eastAsia="en-US"/>
        </w:rPr>
      </w:pPr>
      <w:r>
        <w:rPr>
          <w:rFonts w:eastAsia="Calibri"/>
          <w:bCs/>
          <w:caps/>
          <w:color w:val="000000"/>
          <w:szCs w:val="24"/>
        </w:rPr>
        <w:t xml:space="preserve">«Раздел 1. </w:t>
      </w:r>
      <w:r>
        <w:rPr>
          <w:rFonts w:eastAsia="Calibri"/>
          <w:bCs/>
          <w:color w:val="000000"/>
          <w:szCs w:val="24"/>
        </w:rPr>
        <w:t xml:space="preserve">Текущее содержание улично-дорожной сети </w:t>
      </w:r>
      <w:r>
        <w:rPr>
          <w:rFonts w:eastAsia="Calibri"/>
          <w:bCs/>
          <w:color w:val="000000"/>
          <w:szCs w:val="24"/>
          <w:lang w:eastAsia="en-US"/>
        </w:rPr>
        <w:t xml:space="preserve">на территории Тайшетского муниципального образования «Тайшетское городское поселение» </w:t>
      </w:r>
      <w:r>
        <w:rPr>
          <w:rFonts w:eastAsia="Calibri"/>
          <w:bCs/>
          <w:color w:val="000000"/>
          <w:szCs w:val="24"/>
        </w:rPr>
        <w:t xml:space="preserve">на 2025 год</w:t>
      </w:r>
      <w:r>
        <w:rPr>
          <w:rFonts w:eastAsia="Calibri"/>
          <w:bCs/>
          <w:caps/>
          <w:color w:val="000000"/>
          <w:szCs w:val="24"/>
          <w:lang w:eastAsia="en-US"/>
        </w:rPr>
      </w:r>
    </w:p>
    <w:p>
      <w:pPr>
        <w:rPr>
          <w:bCs/>
          <w:color w:val="000000"/>
          <w:szCs w:val="24"/>
        </w:rPr>
      </w:pPr>
      <w:r>
        <w:rPr>
          <w:bCs/>
          <w:color w:val="000000"/>
          <w:szCs w:val="24"/>
        </w:rPr>
      </w:r>
      <w:r>
        <w:rPr>
          <w:bCs/>
          <w:color w:val="000000"/>
          <w:szCs w:val="24"/>
        </w:rPr>
      </w:r>
    </w:p>
    <w:tbl>
      <w:tblPr>
        <w:tblW w:w="9511" w:type="dxa"/>
        <w:tblInd w:w="9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582"/>
        <w:gridCol w:w="2126"/>
        <w:gridCol w:w="2409"/>
        <w:gridCol w:w="1134"/>
        <w:gridCol w:w="1276"/>
        <w:gridCol w:w="850"/>
        <w:gridCol w:w="1134"/>
      </w:tblGrid>
      <w:tr>
        <w:tblPrEx/>
        <w:trPr>
          <w:trHeight w:val="51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пп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Обоснование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работ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Единица измерения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Стоимость единицы, руб.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Итого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7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Раздел. 1 Летнее содержание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9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Уборка различных предметов и мусора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00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ГЭСНс01-02-002-01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Уборка различных предметов и мусора с элементов автомобильной дороги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км прохода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1623,15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180,10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292329,32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8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ГЭСНс01-04-021-01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тротуаров: механической щеткой на тракторе 40 кВт (55 л.с.),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353,31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5299,65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6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ГЭСНс01-02-001-01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Механизированная очистка покрытий комбинированными дорожными машинами: мощностью от 210 до 270 л.с. без увлажнения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1996,01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89820,45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24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Обочины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ГЭСНс01-01-004-02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Планировка автогрейдером: гравийных обочин 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км прохода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1569,59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94175,40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06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ГЭСНс01-10-001-01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Погрузка материалов погрузчиками на пневмоколесном ходу с перемещением на расстояние до 10 м: шлак, каменная мелочь, сухие разрыхленные грунты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6977,92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76757,12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06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02-15-1-01-0007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Перевозка грузов автомобилями-самосвалами грузоподъемностью до 15 т работающих вне карьера на расстояние: I класс груза до 7 км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 груза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171,7</w:t>
            </w: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</w:t>
            </w:r>
            <w:r>
              <w:rPr>
                <w:sz w:val="22"/>
                <w:szCs w:val="22"/>
              </w:rPr>
              <w:t xml:space="preserve">8892,00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Кюветы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ГЭСНс01-01-017-01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водоотводных лотков и быстротоков: вручную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5228,92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784338,00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Устройство водоотводных кюветов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74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ГЭСН01-01-013-07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Разработка грунта с погрузкой на автомобили-самосвалы экскаваторами с ковшом вместимостью: 0,65 (0,5-1) м3, группа грунтов 1  (Стесненность) 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150986,25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301972,50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7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02-15-1-01-0007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Перевозка грузов автомобилями-самосвалами грузоподъемностью до 15 т работающих вне карьера на расстояние: I класс груза до 7 км (коэфф.1,65)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 груза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171,7</w:t>
            </w: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56667</w:t>
            </w:r>
            <w:r>
              <w:rPr>
                <w:sz w:val="22"/>
                <w:szCs w:val="22"/>
              </w:rPr>
              <w:t xml:space="preserve">6,00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Устройство водопропускных труб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3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ГЭСН01-01-013-07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Разработка грунта с погрузкой на автомобили-самосвалы экскаваторами с ковшом вместимостью: 0,65 (0,5-1) м3, группа грунтов 1 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131306,31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0,70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91914,42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98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 30-07-010-01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Устройство гравийно-песчаной подготовки под водопропускные трубы из гофрированного металла (без стоимости материала)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4141,36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144947,60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81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 22-01-011-16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Укладка металлических водопропускных труб диаметром: до 1 м (без стоимости материала)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4639,41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1391823,00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73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 22-01-011-16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Демонтаж металлических водопропускных труб диаметром: до 1 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3075,95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153797,50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Ремонт дорожного  профиля гравийных и грунтовых дорог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ГЭСНс01-04-017</w:t>
            </w:r>
            <w:r>
              <w:rPr>
                <w:sz w:val="22"/>
                <w:szCs w:val="22"/>
              </w:rPr>
              <w:t xml:space="preserve">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Профилирование гравийных дорог автогрейдером  (87,5км*7м)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1332,37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436,94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58216</w:t>
            </w:r>
            <w:r>
              <w:rPr>
                <w:sz w:val="22"/>
                <w:szCs w:val="22"/>
              </w:rPr>
              <w:t xml:space="preserve">5,75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98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ГЭСНс01-02-018-01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Восстановление профиля с добавлением нового материала: гравийных дорог (15 м3 на 1000 м2)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120393,97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8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ГЭСНс01-02-017-01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Восстановление профиля гравийных дорог без добавления нового материала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62896,23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55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17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ГЭСНс01-02-014-01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Ямочный ремонт гравийных покрытий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100277,82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04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 27-04-001-02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Устройство подстилающих и выравнивающих слоев оснований: из песчано-гравийной смеси, дресвы (без стоимости материала)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63 207,54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14,96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945584,8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7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ФСБЦ-02.2.04.03-0003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Песчано-гравийная дорожная смесь природная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1336,54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1496,4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1999998,46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99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20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ГЭСНс01-02-018-02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Восстановление профиля с добавлением нового материала: щебеночных дорог (15 м3 на 1000 м2)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117090,55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1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21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ГЭСНс01-02-014-02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Ямочный ремонт щебеночных покрытий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131905,24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81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Содержание остановок,  остановочных пунктов и карманов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09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ГЭСНс01-04-016-01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Очистка: автобусных остановок, площадок отдыха и стоянок автомобилей от грязи, пыли и мусора вручную, (18кв.м.*87 ост*9р*6м)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18075,21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84,56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1528439,76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Ремонт асфальтобетонных покрытий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4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ГЭСНс01-02-005-02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Ремонт асфальтобетонного покрытия дорог однослойного толщиной: 70 мм площадью ремонта до 5 м2 (16,6 тонн на 100 кв.м.)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252932, 13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6,45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163</w:t>
            </w:r>
            <w:r>
              <w:rPr>
                <w:sz w:val="22"/>
                <w:szCs w:val="22"/>
              </w:rPr>
              <w:t xml:space="preserve">1412,24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Погрузочные работы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41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ГЭСНс01-10-001-01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Погрузка материалов погрузчиками на пневмоколесном ходу с перемещением на расстояние до 10 м: шлак, каменная мелочь, сухие разрыхленные грунты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6977,92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209337,60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1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ГЭСНс01-10-005-01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Погрузка материалов в автотранспортные средства вручную: сподручные и навалочные грузы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537,90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53790,00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83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ГЭСНс01-10-005-02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Погрузка материалов в автотранспортные средства вручную: несподручные грузы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674,86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74234,60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Перевозка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45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02-15-1-01-0007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Перевозка грузов автомобилями-самосвалами грузоподъемностью до 15 т работающих вне </w:t>
            </w:r>
            <w:r>
              <w:rPr>
                <w:sz w:val="22"/>
                <w:szCs w:val="22"/>
              </w:rPr>
              <w:t xml:space="preserve">карьера на расстояние: I класс груза до 7 км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 груза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171,72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601020,00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1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ГЭСНр68-01-005-01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Вырезка сухих ветвей лиственных пород диметром: до 350 мм при количестве срезанных ветвей до 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дерево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626,74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200556,80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56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ГЭСНс01-01-012-01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Скашивание травы вручную: на обочинах и разделительной полосе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214,89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236379,00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87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ГЭСНс01-01-012-02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Скашивание травы вручную: в канавах, на откосах, у оголовков водопропускных труб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322,29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386748,00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273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Ремонт деревянных тротуаров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43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 27-07-004-01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Устройство деревянных тротуаров (6,7 м3 на 100м2)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177893,44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Раздел 2. Зимнее содержание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дорог от снега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5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ГЭСНс01-05-002-02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дороги от снега плужным оборудованием на базе: комбинированной дорожной машины мощностью от 210 до 270 л.с. (87,5*6*3+93,6*7*3)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1378,18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177,0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243937,86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ГЭСНс01-05-004-01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дороги от снега плужными снегоочистителями на базе трактора, (87,5*6*3)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2680,03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157,5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422104,73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ГЭСНс01-05-006-03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дороги от снега средними автогрейдерами: снег уплотненный до 500 мм (93,6*7*3)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7613,47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196,56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1496503,66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ГЭСНс01-05-007-01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Уборка снежных валов автогрейдерами  (93,6*3*2)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км вала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10151,35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56,16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570099,82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Обочины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44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ГЭСНс01-05-003-01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обочин от снега плужными снегоочистителями на базе автомобиля (КДМ): мощностью от 210 до 270 л.с.  (93,6*2*6)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км обочины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3801,90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112,32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427029,41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ГЭСНс01-05-007-03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обочин от снега средними автогрейдерами с использованием бокового отвала: снег уплотненный (93,6*2*3)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км вала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13958,07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56,16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783885,21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Содержание тротуаров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0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ГЭСНс01-05-028-01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Россыпь песка вручную: на тротуарах, остановках общественного транспорта, площадках отдыха (0,2м3 на 1000м2)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4308,29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861658,00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6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ГЭСНс01-05-023-02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тротуаров, площадок отдыха и стоянок автомобилей от снега и льда: механической щеткой на тракторе 40 кВт (55 л.с.)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481,80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192720,00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ГЭСНс01-04-021-02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Уборка снега с тротуаров вручную снег 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28905,23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1300735,35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Содержание остановок,  остановочных пунктов и карманов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04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ГЭСНс01-05-024-01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автопавильонов и территорий, прилегающих к ним, от мусора, снега и льда (18кв.м.*87 ост*9р*6м)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49921,95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84,56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4221400,09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Распределение пескосоляной смеси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25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ГЭСНс01-05-010-01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Распределение пескосоляной смеси или фрикционных материалов: комбинированной дорожной машины мощностью от 210 до 270 л.с. (2м3 на 10000м2) 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12175,19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414,00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5040528,66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41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02-15-1-01-0007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Перевозка грузов автомобилями-самосвалами грузоподъемностью 15 т работающих вне карьера на расстояние: I класс груза до 7 км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 груза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171,72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1050,00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180306,00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Кюветы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63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ГЭСНс01-05-025-02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Выколка льда и обледенелого снега из кюветов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10010,37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2002074,00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Погрузочные работы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114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ГЭСНс01-10-001-03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Погрузка материалов погрузчиками на пневмоколесном ходу с перемещением на расстояние до 10 м: снег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13444,77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806686,20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5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Перевозка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59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02-15-1-01-0007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Перевозка грузов автомобилями-самосвалами грузоподъемностью 15 т работающих вне карьера на расстояние: I </w:t>
            </w:r>
            <w:r>
              <w:rPr>
                <w:sz w:val="22"/>
                <w:szCs w:val="22"/>
              </w:rPr>
              <w:t xml:space="preserve">класс груза до 7 км, снег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 груза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171,72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3 600,00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618192,00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55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ГЭСНс01-04-021-02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тротуаров вручную 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28 905,23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1734313,8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84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ГЭСНС01-04-008-05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Уборка наносного грунта из-под ограждения вручную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7292,50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35,89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2617</w:t>
            </w:r>
            <w:r>
              <w:rPr>
                <w:sz w:val="22"/>
                <w:szCs w:val="22"/>
              </w:rPr>
              <w:t xml:space="preserve">27,83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ВрСНиРс-01-015-2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Частичное восстановление профиля водоотводных канав вручную: грунт II группы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552,51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  <w:t xml:space="preserve">687,44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Итого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33 800 000,0</w:t>
            </w:r>
            <w:r>
              <w:rPr>
                <w:sz w:val="22"/>
                <w:szCs w:val="22"/>
              </w:rPr>
            </w:r>
          </w:p>
        </w:tc>
      </w:tr>
    </w:tbl>
    <w:p>
      <w:pPr>
        <w:jc w:val="right"/>
      </w:pPr>
      <w:r>
        <w:t xml:space="preserve">»</w:t>
      </w:r>
      <w:r/>
    </w:p>
    <w:p>
      <w:r/>
      <w:r/>
    </w:p>
    <w:p>
      <w:r/>
      <w:r/>
    </w:p>
    <w:p>
      <w:r/>
      <w:r/>
    </w:p>
    <w:p>
      <w:r/>
      <w:r/>
    </w:p>
    <w:p>
      <w:r>
        <w:t xml:space="preserve">Начальник отдела по организационной работе,</w:t>
      </w:r>
      <w:r/>
    </w:p>
    <w:p>
      <w:r>
        <w:t xml:space="preserve">контролю и делопроизводству администрации</w:t>
      </w:r>
      <w:r/>
    </w:p>
    <w:p>
      <w:r>
        <w:t xml:space="preserve">Тайшетского городского поселения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В.Д. Бычкова</w:t>
      </w:r>
      <w:r/>
    </w:p>
    <w:p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Приложение 2</w:t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к постановлению администрации</w:t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Тайшетского городского поселения</w:t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от 05 июня 2025 года №456</w:t>
      </w:r>
      <w:r>
        <w:rPr>
          <w:szCs w:val="24"/>
        </w:rPr>
      </w:r>
    </w:p>
    <w:p>
      <w:pPr>
        <w:ind w:right="0"/>
        <w:jc w:val="both"/>
        <w:rPr>
          <w:szCs w:val="24"/>
        </w:rPr>
        <w:suppressLineNumbers w:val="0"/>
      </w:pPr>
      <w:r>
        <w:rPr>
          <w:szCs w:val="24"/>
        </w:rPr>
      </w:r>
      <w:r>
        <w:rPr>
          <w:szCs w:val="24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bCs/>
          <w:caps/>
          <w:color w:val="000000"/>
          <w:szCs w:val="24"/>
        </w:rPr>
        <w:t xml:space="preserve">«Раздел 2. </w:t>
      </w:r>
      <w:r>
        <w:rPr>
          <w:rFonts w:eastAsia="Calibri"/>
          <w:bCs/>
          <w:color w:val="000000"/>
          <w:szCs w:val="24"/>
        </w:rPr>
        <w:t xml:space="preserve">Выполнение комплекса работ по содержанию мест захоронения </w:t>
      </w:r>
      <w:r>
        <w:rPr>
          <w:rFonts w:eastAsia="Calibri"/>
          <w:bCs/>
          <w:color w:val="000000"/>
          <w:szCs w:val="24"/>
          <w:lang w:eastAsia="en-US"/>
        </w:rPr>
        <w:t xml:space="preserve">на территории Тайшетского муниципального образования «Тайшетское городское поселение»  </w:t>
      </w:r>
      <w:r>
        <w:rPr>
          <w:rFonts w:eastAsia="Calibri"/>
          <w:color w:val="000000"/>
        </w:rPr>
      </w:r>
      <w:r>
        <w:rPr>
          <w:rFonts w:eastAsia="Calibri"/>
          <w:bCs/>
          <w:color w:val="000000"/>
          <w:szCs w:val="24"/>
        </w:rPr>
        <w:t xml:space="preserve">на 2025 год</w:t>
      </w: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</w:rPr>
      </w:r>
    </w:p>
    <w:p>
      <w:pPr>
        <w:ind w:right="-1417"/>
        <w:jc w:val="both"/>
        <w:rPr>
          <w:szCs w:val="24"/>
        </w:rPr>
      </w:pPr>
      <w:r>
        <w:rPr>
          <w:szCs w:val="24"/>
        </w:rPr>
      </w:r>
      <w:r>
        <w:rPr>
          <w:szCs w:val="24"/>
        </w:rPr>
      </w:r>
    </w:p>
    <w:tbl>
      <w:tblPr>
        <w:tblW w:w="9496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2126"/>
        <w:gridCol w:w="2409"/>
        <w:gridCol w:w="1134"/>
        <w:gridCol w:w="1276"/>
        <w:gridCol w:w="850"/>
        <w:gridCol w:w="1134"/>
      </w:tblGrid>
      <w:tr>
        <w:tblPrEx/>
        <w:trPr>
          <w:trHeight w:val="80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№ п/п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Обоснование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Наименование работ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Единица измерения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Стоимость единицы, руб.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Количество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Итого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1. Расчистка дорог от снега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Старое кладбище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46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ГЭСНс01-05-006-03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Очистка дороги от снега тяжелыми автогрейдерами: снег уплотненный до 500 мм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10000 м</w:t>
            </w:r>
            <w:r>
              <w:rPr>
                <w:color w:val="000000"/>
                <w:sz w:val="22"/>
                <w:szCs w:val="22"/>
                <w:vertAlign w:val="superscript"/>
              </w:rPr>
              <w:t xml:space="preserve">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7613,47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7,50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57101,03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49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ГЭСНс01-05-002-02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Очистка дороги от снега плужным оборудованием на базе: комбинированной дорожной машины мощностью от 210 до 270 л.с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10000 м</w:t>
            </w:r>
            <w:r>
              <w:rPr>
                <w:color w:val="000000"/>
                <w:sz w:val="22"/>
                <w:szCs w:val="22"/>
                <w:vertAlign w:val="superscript"/>
              </w:rPr>
              <w:t xml:space="preserve">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1378,18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23,20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31973,78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Новое кладбище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trHeight w:val="54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ГЭСНс01-05-006-03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Очистка дороги от снега тяжелыми автогрейдерами: снег уплотненный до 500 мм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10000м</w:t>
            </w:r>
            <w:r>
              <w:rPr>
                <w:color w:val="000000"/>
                <w:sz w:val="22"/>
                <w:szCs w:val="22"/>
                <w:vertAlign w:val="superscript"/>
              </w:rPr>
              <w:t xml:space="preserve">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7613,47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4,20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31976,57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45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ГЭСНс01-05-002-02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Очистка дороги от снега плужным оборудованием на базе: </w:t>
            </w:r>
            <w:r>
              <w:rPr>
                <w:color w:val="000000"/>
                <w:sz w:val="22"/>
                <w:szCs w:val="22"/>
              </w:rPr>
              <w:t xml:space="preserve">комбинированной дорожной машины мощностью от 210 до 270 л.с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10000м</w:t>
            </w:r>
            <w:r>
              <w:rPr>
                <w:color w:val="000000"/>
                <w:sz w:val="22"/>
                <w:szCs w:val="22"/>
                <w:vertAlign w:val="superscript"/>
              </w:rPr>
              <w:t xml:space="preserve">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1378,18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4,68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6449,88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1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2. Уборка и вывоз мусора вдоль дорог и от места сбора мусора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Старое кладбище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49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ГЭСНс01-02-002-01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Уборка различных предметов и мусора с элементов автомобильной дороги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км прохода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1623,15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81,60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132449,04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48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ГЭСНс01-10-005-01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Погрузка материалов в автотранспортные средства вручную: сподручные и навалочные грузы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т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537,90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345,00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185575,50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54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02-15-1-01-0007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Перевозка грузов автомобилями-самосвалами грузоподъемностью 15т, работающих вне картера, на расстояние: до 7 м I класс груза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т груза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171,72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345,00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59243,40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Новое кладбище</w:t>
            </w:r>
            <w:r>
              <w:rPr>
                <w:iCs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ГЭСНс01-02-002-01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Уборка различных предметов и мусора с элементов автомобильной дороги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км прохода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1623,15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26,</w:t>
            </w:r>
            <w:r>
              <w:rPr>
                <w:color w:val="000000"/>
                <w:sz w:val="22"/>
                <w:szCs w:val="22"/>
              </w:rPr>
              <w:t xml:space="preserve">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42201,9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51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9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ГЭСНс01-10-005-01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Погрузка материалов в автотранспортные средства вручную: сподручные и навалочные грузы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т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537,90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45,0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24205,5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52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02-15-1-01-0007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Перевозка грузов автомобилями-самосвалами грузоподъемностью 15т, работающих вне карьера, на расстояние: до 7 м I класс груза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т груза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171,7</w:t>
            </w:r>
            <w:r>
              <w:rPr>
                <w:color w:val="000000"/>
                <w:sz w:val="22"/>
                <w:szCs w:val="22"/>
              </w:rPr>
              <w:t xml:space="preserve">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45</w:t>
            </w:r>
            <w:r>
              <w:rPr>
                <w:color w:val="000000"/>
                <w:sz w:val="22"/>
                <w:szCs w:val="22"/>
              </w:rPr>
              <w:t xml:space="preserve">,00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77</w:t>
            </w:r>
            <w:r>
              <w:rPr>
                <w:color w:val="000000"/>
                <w:sz w:val="22"/>
                <w:szCs w:val="22"/>
              </w:rPr>
              <w:t xml:space="preserve">27,4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3. Уборка и вывоз аварийных деревьев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Старое кладбище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52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11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ГЭСНр68-01-003-01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Валка деревьев в городских условиях (ель, пихта, береза, лиственница, ольха) диаметром до 300 мм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складочный м</w:t>
            </w:r>
            <w:r>
              <w:rPr>
                <w:color w:val="000000"/>
                <w:sz w:val="22"/>
                <w:szCs w:val="22"/>
                <w:vertAlign w:val="superscript"/>
              </w:rPr>
              <w:t xml:space="preserve">3</w:t>
            </w:r>
            <w:r>
              <w:rPr>
                <w:color w:val="000000"/>
                <w:sz w:val="22"/>
                <w:szCs w:val="22"/>
              </w:rPr>
              <w:t xml:space="preserve"> кряжей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3082,00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140</w:t>
            </w:r>
            <w:r>
              <w:rPr>
                <w:color w:val="000000"/>
                <w:sz w:val="22"/>
                <w:szCs w:val="22"/>
              </w:rPr>
              <w:t xml:space="preserve">,0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431480,0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51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ГЭСНс01-10-005-01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Погрузка материалов в автотранспортные средства вручную: сподручные и навалочные грузы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т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537,90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70</w:t>
            </w:r>
            <w:r>
              <w:rPr>
                <w:color w:val="000000"/>
                <w:sz w:val="22"/>
                <w:szCs w:val="22"/>
              </w:rPr>
              <w:t xml:space="preserve">,00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37653,0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49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13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02-15-1-01-0007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Перевозка грузов автомобилями-самосвалами грузоподъемностью 15т, работающих вне карьера, на расстояние: до 7 м I класс груза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т груза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171,7</w:t>
            </w:r>
            <w:r>
              <w:rPr>
                <w:color w:val="000000"/>
                <w:sz w:val="22"/>
                <w:szCs w:val="22"/>
              </w:rPr>
              <w:t xml:space="preserve">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70</w:t>
            </w:r>
            <w:r>
              <w:rPr>
                <w:color w:val="000000"/>
                <w:sz w:val="22"/>
                <w:szCs w:val="22"/>
              </w:rPr>
              <w:t xml:space="preserve">,00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12020,4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4. Скашивание травы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Старое кладбище</w:t>
            </w:r>
            <w:r>
              <w:rPr>
                <w:iCs/>
                <w:color w:val="000000"/>
                <w:sz w:val="22"/>
                <w:szCs w:val="22"/>
              </w:rPr>
              <w:t xml:space="preserve"> и новое клабище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3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14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ГЭСНр68-01-004-02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Выкашивание газонов: газонокосилкой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100 м</w:t>
            </w:r>
            <w:r>
              <w:rPr>
                <w:color w:val="000000"/>
                <w:sz w:val="22"/>
                <w:szCs w:val="22"/>
                <w:vertAlign w:val="superscript"/>
              </w:rPr>
              <w:t xml:space="preserve">2 </w:t>
            </w:r>
            <w:r>
              <w:rPr>
                <w:color w:val="000000"/>
                <w:sz w:val="22"/>
                <w:szCs w:val="22"/>
              </w:rPr>
              <w:t xml:space="preserve">газона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1 115,93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155,2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173192,34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5. Подсыпка дорог ПГС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Старое кладбище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51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ГЭСН27-04-001-02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Устройство подстилающих и выравнивающих слоев оснований: из песчано-гравийной смеси, дресвы (без стоимости материала)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100м</w:t>
            </w:r>
            <w:r>
              <w:rPr>
                <w:color w:val="000000"/>
                <w:sz w:val="22"/>
                <w:szCs w:val="22"/>
                <w:vertAlign w:val="superscript"/>
              </w:rPr>
              <w:t xml:space="preserve">3 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63 207,54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0,36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22754,71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</w:r>
            <w:r>
              <w:rPr>
                <w:iCs/>
                <w:color w:val="000000"/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4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Новое кладбище</w:t>
            </w:r>
            <w:r>
              <w:rPr>
                <w:iCs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17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16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ГЭСН27-04-001-02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Устройство подстилающих и выравнивающих слоев оснований: из песчано-гравийной смеси, дресвы (без стоимости материала)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100м</w:t>
            </w:r>
            <w:r>
              <w:rPr>
                <w:color w:val="000000"/>
                <w:sz w:val="22"/>
                <w:szCs w:val="22"/>
                <w:vertAlign w:val="superscript"/>
              </w:rPr>
              <w:t xml:space="preserve">3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63 207,54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0,54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34132,07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 xml:space="preserve">Старое кладбище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255"/>
        </w:trPr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8. Текущее содержание дорог</w:t>
            </w:r>
            <w:r>
              <w:rPr>
                <w:bCs/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73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ГЭСНс01-04-017</w:t>
            </w:r>
            <w:r>
              <w:rPr>
                <w:color w:val="000000"/>
                <w:sz w:val="22"/>
                <w:szCs w:val="22"/>
              </w:rPr>
              <w:t xml:space="preserve">-02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40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Профилирование гравийных дорог автогрейдером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1000 м</w:t>
            </w:r>
            <w:r>
              <w:rPr>
                <w:color w:val="000000"/>
                <w:sz w:val="22"/>
                <w:szCs w:val="22"/>
                <w:vertAlign w:val="superscript"/>
              </w:rPr>
              <w:t xml:space="preserve">2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1332,37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shd w:val="clear" w:color="auto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40,0</w:t>
            </w:r>
            <w:r>
              <w:rPr>
                <w:color w:val="000000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</w:t>
            </w:r>
            <w:r>
              <w:rPr>
                <w:color w:val="000000"/>
                <w:sz w:val="22"/>
                <w:szCs w:val="22"/>
              </w:rPr>
              <w:t xml:space="preserve">2463,</w:t>
            </w:r>
            <w:r>
              <w:rPr>
                <w:color w:val="000000"/>
                <w:sz w:val="22"/>
                <w:szCs w:val="22"/>
              </w:rPr>
              <w:t xml:space="preserve">4</w:t>
            </w:r>
            <w:r>
              <w:rPr>
                <w:color w:val="000000"/>
                <w:sz w:val="22"/>
                <w:szCs w:val="22"/>
              </w:rPr>
              <w:t xml:space="preserve">8</w:t>
            </w:r>
            <w:r>
              <w:rPr>
                <w:color w:val="000000"/>
                <w:sz w:val="22"/>
                <w:szCs w:val="22"/>
              </w:rPr>
            </w:r>
          </w:p>
        </w:tc>
      </w:tr>
      <w:tr>
        <w:tblPrEx/>
        <w:trPr>
          <w:trHeight w:val="321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496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Итого                                                                                                                                    </w:t>
            </w:r>
            <w:r>
              <w:rPr>
                <w:bCs/>
                <w:color w:val="000000"/>
                <w:sz w:val="22"/>
                <w:szCs w:val="22"/>
              </w:rPr>
              <w:t xml:space="preserve">1 342 600,00</w:t>
            </w:r>
            <w:r>
              <w:rPr>
                <w:bCs/>
                <w:color w:val="000000"/>
                <w:sz w:val="22"/>
                <w:szCs w:val="22"/>
              </w:rPr>
            </w:r>
          </w:p>
        </w:tc>
      </w:tr>
    </w:tbl>
    <w:p>
      <w:pPr>
        <w:contextualSpacing/>
        <w:jc w:val="right"/>
        <w:rPr>
          <w:rFonts w:eastAsia="Calibri"/>
          <w:bCs/>
          <w:caps/>
          <w:color w:val="000000"/>
          <w:szCs w:val="24"/>
        </w:rPr>
      </w:pPr>
      <w:r>
        <w:rPr>
          <w:rFonts w:eastAsia="Calibri"/>
          <w:bCs/>
          <w:caps/>
          <w:color w:val="000000"/>
          <w:szCs w:val="24"/>
        </w:rPr>
        <w:t xml:space="preserve">»</w:t>
      </w:r>
      <w:r>
        <w:rPr>
          <w:rFonts w:eastAsia="Calibri"/>
          <w:bCs/>
          <w:caps/>
          <w:color w:val="000000"/>
          <w:szCs w:val="24"/>
        </w:rPr>
      </w:r>
    </w:p>
    <w:p>
      <w:pPr>
        <w:contextualSpacing/>
        <w:rPr>
          <w:rFonts w:eastAsia="Calibri"/>
          <w:caps/>
          <w:color w:val="000000"/>
        </w:rPr>
      </w:pPr>
      <w:r>
        <w:rPr>
          <w:rFonts w:eastAsia="Calibri"/>
          <w:caps/>
          <w:color w:val="000000"/>
        </w:rPr>
      </w:r>
      <w:r>
        <w:rPr>
          <w:rFonts w:eastAsia="Calibri"/>
          <w:caps/>
          <w:color w:val="000000"/>
        </w:rPr>
      </w:r>
    </w:p>
    <w:p>
      <w:pPr>
        <w:contextualSpacing/>
        <w:rPr>
          <w:rFonts w:eastAsia="Calibri"/>
          <w:caps/>
          <w:color w:val="000000"/>
        </w:rPr>
      </w:pPr>
      <w:r>
        <w:rPr>
          <w:rFonts w:eastAsia="Calibri"/>
          <w:caps/>
          <w:color w:val="000000"/>
        </w:rPr>
      </w:r>
      <w:r>
        <w:rPr>
          <w:rFonts w:eastAsia="Calibri"/>
          <w:caps/>
          <w:color w:val="000000"/>
        </w:rPr>
      </w:r>
    </w:p>
    <w:p>
      <w:pPr>
        <w:contextualSpacing/>
        <w:rPr>
          <w:rFonts w:eastAsia="Calibri"/>
          <w:caps/>
          <w:color w:val="000000"/>
        </w:rPr>
      </w:pPr>
      <w:r>
        <w:rPr>
          <w:rFonts w:eastAsia="Calibri"/>
          <w:caps/>
          <w:color w:val="000000"/>
        </w:rPr>
      </w:r>
      <w:r>
        <w:rPr>
          <w:rFonts w:eastAsia="Calibri"/>
          <w:caps/>
          <w:color w:val="000000"/>
        </w:rPr>
      </w:r>
    </w:p>
    <w:p>
      <w:pPr>
        <w:contextualSpacing/>
        <w:rPr>
          <w:rFonts w:eastAsia="Calibri"/>
          <w:caps/>
          <w:color w:val="000000"/>
        </w:rPr>
      </w:pPr>
      <w:r>
        <w:rPr>
          <w:rFonts w:eastAsia="Calibri"/>
          <w:caps/>
          <w:color w:val="000000"/>
        </w:rPr>
      </w:r>
      <w:r>
        <w:rPr>
          <w:rFonts w:eastAsia="Calibri"/>
          <w:caps/>
          <w:color w:val="000000"/>
        </w:rPr>
      </w:r>
    </w:p>
    <w:p>
      <w:r>
        <w:t xml:space="preserve">Начальник отдела по организационной работе,</w:t>
      </w:r>
      <w:r/>
    </w:p>
    <w:p>
      <w:r>
        <w:t xml:space="preserve">контролю и делопроизводству администрации</w:t>
      </w:r>
      <w:r/>
    </w:p>
    <w:p>
      <w:r>
        <w:t xml:space="preserve">Тайшетского городского поселения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В.Д. Бычкова</w:t>
      </w:r>
      <w:r/>
    </w:p>
    <w:p>
      <w:pPr>
        <w:contextualSpacing/>
        <w:jc w:val="center"/>
        <w:rPr>
          <w:rFonts w:eastAsia="Calibri"/>
          <w:bCs/>
          <w:caps/>
          <w:color w:val="000000"/>
          <w:szCs w:val="24"/>
        </w:rPr>
      </w:pPr>
      <w:r>
        <w:rPr>
          <w:rFonts w:eastAsia="Calibri"/>
          <w:bCs/>
          <w:caps/>
          <w:color w:val="000000"/>
          <w:szCs w:val="24"/>
        </w:rPr>
      </w:r>
      <w:r>
        <w:rPr>
          <w:rFonts w:eastAsia="Calibri"/>
          <w:bCs/>
          <w:caps/>
          <w:color w:val="000000"/>
          <w:szCs w:val="24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contextualSpacing/>
        <w:jc w:val="center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Приложение 3</w:t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к постановлению администрации</w:t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Тайшетского городского поселения</w:t>
      </w:r>
      <w:r>
        <w:rPr>
          <w:szCs w:val="24"/>
        </w:rPr>
      </w:r>
    </w:p>
    <w:p>
      <w:pPr>
        <w:contextualSpacing/>
        <w:ind w:right="-11"/>
        <w:jc w:val="right"/>
        <w:rPr>
          <w:szCs w:val="24"/>
        </w:rPr>
      </w:pPr>
      <w:r>
        <w:rPr>
          <w:szCs w:val="24"/>
        </w:rPr>
        <w:t xml:space="preserve">от 05 июня 2025 года №456</w:t>
      </w:r>
      <w:r>
        <w:rPr>
          <w:szCs w:val="24"/>
        </w:rPr>
      </w:r>
    </w:p>
    <w:p>
      <w:pPr>
        <w:contextualSpacing/>
        <w:ind w:right="-11"/>
        <w:jc w:val="right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contextualSpacing/>
        <w:ind w:right="-11"/>
        <w:jc w:val="center"/>
        <w:rPr>
          <w:rFonts w:eastAsia="Calibri"/>
          <w:lang w:eastAsia="en-US"/>
        </w:rPr>
      </w:pPr>
      <w:r>
        <w:rPr>
          <w:rFonts w:eastAsia="Calibri"/>
          <w:caps/>
          <w:szCs w:val="24"/>
          <w:lang w:eastAsia="en-US"/>
        </w:rPr>
        <w:t xml:space="preserve">«Раздел 3. </w:t>
      </w:r>
      <w:r>
        <w:rPr>
          <w:rFonts w:eastAsia="Calibri"/>
          <w:szCs w:val="24"/>
          <w:lang w:eastAsia="en-US"/>
        </w:rPr>
        <w:t xml:space="preserve">Выполнение работ по текущему содержанию скверов </w:t>
      </w:r>
      <w:r>
        <w:rPr>
          <w:rFonts w:eastAsia="Calibri"/>
          <w:bCs/>
          <w:color w:val="000000"/>
          <w:szCs w:val="24"/>
          <w:lang w:eastAsia="en-US"/>
        </w:rPr>
        <w:t xml:space="preserve">на территории Тайшетского муниципального образования «Тайшетское городское поселение» </w:t>
      </w:r>
      <w:r>
        <w:rPr>
          <w:rFonts w:eastAsia="Calibri"/>
          <w:lang w:eastAsia="en-US"/>
        </w:rPr>
      </w:r>
    </w:p>
    <w:p>
      <w:pPr>
        <w:contextualSpacing/>
        <w:ind w:right="-11"/>
        <w:jc w:val="center"/>
        <w:rPr>
          <w:rFonts w:eastAsia="Calibri"/>
          <w:color w:val="000000"/>
          <w:lang w:eastAsia="en-US"/>
        </w:rPr>
      </w:pPr>
      <w:r>
        <w:rPr>
          <w:rFonts w:eastAsia="Calibri"/>
          <w:szCs w:val="24"/>
          <w:lang w:eastAsia="en-US"/>
        </w:rPr>
        <w:t xml:space="preserve">на 2025 год</w:t>
      </w:r>
      <w:r>
        <w:rPr>
          <w:rFonts w:eastAsia="Calibri"/>
          <w:color w:val="000000"/>
          <w:lang w:eastAsia="en-US"/>
        </w:rPr>
      </w:r>
    </w:p>
    <w:p>
      <w:pPr>
        <w:contextualSpacing/>
        <w:ind w:right="-11"/>
        <w:jc w:val="both"/>
        <w:rPr>
          <w:rFonts w:eastAsia="Calibri"/>
          <w:bCs/>
          <w:color w:val="000000"/>
          <w:szCs w:val="24"/>
        </w:rPr>
      </w:pPr>
      <w:r>
        <w:rPr>
          <w:rFonts w:eastAsia="Calibri"/>
          <w:bCs/>
          <w:color w:val="000000"/>
          <w:szCs w:val="24"/>
        </w:rPr>
      </w:r>
      <w:r>
        <w:rPr>
          <w:rFonts w:eastAsia="Calibri"/>
          <w:bCs/>
          <w:color w:val="000000"/>
          <w:szCs w:val="24"/>
        </w:rPr>
      </w:r>
    </w:p>
    <w:tbl>
      <w:tblPr>
        <w:tblW w:w="961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0A0" w:firstRow="1" w:lastRow="0" w:firstColumn="1" w:lastColumn="0" w:noHBand="0" w:noVBand="0"/>
      </w:tblPr>
      <w:tblGrid>
        <w:gridCol w:w="695"/>
        <w:gridCol w:w="1843"/>
        <w:gridCol w:w="2835"/>
        <w:gridCol w:w="992"/>
        <w:gridCol w:w="1134"/>
        <w:gridCol w:w="850"/>
        <w:gridCol w:w="1262"/>
      </w:tblGrid>
      <w:tr>
        <w:tblPrEx/>
        <w:trPr>
          <w:jc w:val="center"/>
          <w:trHeight w:val="49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п/п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Обоснование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работ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Единица измерения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Стоимость единицы, руб.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Кол-во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Всего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27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1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Зимнее содержание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ГЭСНс01-05-023-02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от снега и льда тротуаров средствами малой механизации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481,80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144540,00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1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1" w:type="dxa"/>
            <w:vAlign w:val="center"/>
            <w:textDirection w:val="lrTb"/>
            <w:noWrap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Вывоз снега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5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ГЭСНс01-10-001-03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Погрузка материалов погрузчиками на пневмоколесном ходу с </w:t>
            </w:r>
            <w:r>
              <w:rPr>
                <w:sz w:val="22"/>
                <w:szCs w:val="22"/>
              </w:rPr>
              <w:t xml:space="preserve">перемещением на расстояние до 10 м: снег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13444,77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0,90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12100,29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58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02-15-1-01-0007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Перевозка грузов автомобилями-самосвалами грузоподъемностью 15т, работающих вне карьера, на расстояние: до 7 км I класс груза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 груза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171,72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9272,88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1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Летнее содержание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ГЭСНр68-01-004-02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Выкашивание газонов: газонокосилкой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м2 газона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1115,93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1222997,58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1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 Очистка площадок отдыха и стоянок автомобилей от пыли и мусора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42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ГЭСНс01-04-016-02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площадок отдыха и стоянок автомобилей от грязи, пыли и мусора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950,48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1045528,00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1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Вывоз мусора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117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ГЭСНс01-10-005-01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Погрузка материалов в автотранспортные средства вручную: сподручные и навалочные грузы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537,90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19902,30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5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02-15-1-01-0007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Перевозка грузов автомобилями-самосвалами грузоподъемностью 15 т работающих вне карьера на расстояние: I класс груза до 7 км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 груза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171,72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37,00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6353,64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255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1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 Ремонт скамеек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ГЭСНс01-04-023-01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Ремонт деревянных скамеек, урн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шт.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1024,33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102433,00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ГЭСНр62-01-002-03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Простая окраска ранее окрашенных поверхностей: с подготовкой и расчисткой старой краски свыше 10 до 35%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кв.м.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36 937,12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110811,36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Озеленение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ГЭСН47-01-006-15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Подготовка стандартных посадочных мест вручную для деревьев и кустарников с круглым комом земли размером: 0,5х0,4 м с добавлением растительной земли до 100%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шт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22212,41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66637,23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ГЭСН47-01-006-15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Посадка деревьев и кустарников с комом земли размером: 0,5х0,4 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шт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35083,20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105249,60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ГЭСН47-01-049-01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Подготовка почвы под цветники толщиной слоя насыпки 20 см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кв.м.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89206,66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89206,66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ГЭСН47-01-054-01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Посадка цветов в клумбы, рабатки и вазы-цветочницы: клубневых, луковичных и клубнелуковичных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шт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8917,67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2675,30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ГЭСН47-01-054-03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Посадка цветов в клумбы, рабатки и вазы-цветочницы: летников ковровых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шт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6682,30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668,23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</w:t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654" w:type="dxa"/>
            <w:textDirection w:val="lrTb"/>
            <w:noWrap w:val="false"/>
          </w:tcPr>
          <w:p>
            <w:pPr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Затраты на </w:t>
            </w:r>
            <w:r>
              <w:rPr>
                <w:sz w:val="22"/>
                <w:szCs w:val="22"/>
              </w:rPr>
              <w:t xml:space="preserve">ремонт фонтана в парке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50000,00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прайс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Укрывной материал для </w:t>
            </w:r>
            <w:r>
              <w:rPr>
                <w:sz w:val="22"/>
                <w:szCs w:val="22"/>
              </w:rPr>
              <w:t xml:space="preserve">растений , 3,2*10м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шт.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468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2430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ГЭСН47-01-072-01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Уход за растениями в альпинариях и рокариях. (Разокучивание цветов. Прищипка цветов. Подкормка минеральными удобрениями. Поливка. Рыхление и прополка. Выкашивание и стрижка газона с уборкой скошенной травы и случайного мусора. Утепление цветов на зиму.)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кв.м.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55294,12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55294,12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ГЭСН47-01-070-01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Уход: за ц</w:t>
            </w:r>
            <w:r>
              <w:rPr>
                <w:sz w:val="22"/>
                <w:szCs w:val="22"/>
              </w:rPr>
              <w:t xml:space="preserve">ветниками (Полив. Подкормка минеральными удобрениями. Прополка. Рыхление. Прищипка цветочных растений. Очистка цветочных растений от засохших листьев и отцветших цветов. Удаление засохших цветочных стеблей осенью. Окучивание и разокучивание многолетников.)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кв.м.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106 512,65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1,0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106512,65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11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Содержание туалетов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</w:t>
            </w:r>
            <w:r>
              <w:rPr>
                <w:sz w:val="22"/>
                <w:szCs w:val="22"/>
              </w:rPr>
            </w:r>
          </w:p>
        </w:tc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65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Затраты на </w:t>
            </w:r>
            <w:r>
              <w:rPr>
                <w:sz w:val="22"/>
                <w:szCs w:val="22"/>
              </w:rPr>
              <w:t xml:space="preserve">строительство и </w:t>
            </w:r>
            <w:r>
              <w:rPr>
                <w:sz w:val="22"/>
                <w:szCs w:val="22"/>
              </w:rPr>
              <w:t xml:space="preserve">содержание уличных туалетов                                                                                     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368 387,16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25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95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</w:r>
            <w:r>
              <w:rPr>
                <w:rFonts w:eastAsia="Calibri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Итого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3 521 000,0</w:t>
            </w:r>
            <w:r>
              <w:rPr>
                <w:sz w:val="22"/>
                <w:szCs w:val="22"/>
              </w:rPr>
            </w:r>
          </w:p>
        </w:tc>
      </w:tr>
    </w:tbl>
    <w:p>
      <w:pPr>
        <w:jc w:val="right"/>
      </w:pPr>
      <w:r>
        <w:t xml:space="preserve">»</w:t>
      </w:r>
      <w:r/>
    </w:p>
    <w:p>
      <w:r/>
      <w:r/>
    </w:p>
    <w:p>
      <w:r>
        <w:t xml:space="preserve">Начальник отдела по организационной работе,</w:t>
      </w:r>
      <w:r/>
    </w:p>
    <w:p>
      <w:r>
        <w:t xml:space="preserve">контролю и делопроизводству администрации</w:t>
      </w:r>
      <w:r/>
    </w:p>
    <w:p>
      <w:r>
        <w:t xml:space="preserve">Тайшетского городского поселения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В.Д. Бычкова</w:t>
      </w:r>
      <w:r/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Приложение 4</w:t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к постановлению администрации</w:t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Тайшетского городского поселения</w:t>
      </w:r>
      <w:r>
        <w:rPr>
          <w:szCs w:val="24"/>
        </w:rPr>
      </w:r>
    </w:p>
    <w:p>
      <w:pPr>
        <w:contextualSpacing/>
        <w:ind w:right="-11"/>
        <w:jc w:val="right"/>
        <w:rPr>
          <w:rFonts w:eastAsia="Calibri"/>
          <w:caps/>
          <w:szCs w:val="24"/>
          <w:lang w:eastAsia="en-US"/>
        </w:rPr>
      </w:pPr>
      <w:r>
        <w:rPr>
          <w:szCs w:val="24"/>
        </w:rPr>
        <w:t xml:space="preserve">от 05 июня 2025 года №456</w:t>
      </w:r>
      <w:r>
        <w:rPr>
          <w:rFonts w:eastAsia="Calibri"/>
          <w:caps/>
          <w:szCs w:val="24"/>
          <w:lang w:eastAsia="en-US"/>
        </w:rPr>
      </w:r>
    </w:p>
    <w:p>
      <w:pPr>
        <w:contextualSpacing/>
        <w:ind w:right="-11"/>
        <w:jc w:val="right"/>
        <w:rPr>
          <w:rFonts w:eastAsia="Calibri"/>
          <w:caps/>
          <w:sz w:val="24"/>
          <w:szCs w:val="24"/>
        </w:rPr>
      </w:pPr>
      <w:r>
        <w:rPr>
          <w:rFonts w:eastAsia="Calibri"/>
          <w:caps/>
          <w:sz w:val="24"/>
          <w:szCs w:val="24"/>
        </w:rPr>
      </w:r>
      <w:r>
        <w:rPr>
          <w:rFonts w:eastAsia="Calibri"/>
          <w:caps/>
          <w:sz w:val="24"/>
          <w:szCs w:val="24"/>
        </w:rPr>
      </w:r>
    </w:p>
    <w:p>
      <w:pPr>
        <w:contextualSpacing/>
        <w:ind w:right="0"/>
        <w:jc w:val="center"/>
        <w:rPr>
          <w:rFonts w:eastAsia="Calibri"/>
          <w:highlight w:val="none"/>
          <w:lang w:eastAsia="en-US"/>
        </w:rPr>
        <w:suppressLineNumbers w:val="0"/>
      </w:pPr>
      <w:r>
        <w:rPr>
          <w:rFonts w:eastAsia="Calibri"/>
          <w:caps/>
          <w:szCs w:val="24"/>
          <w:lang w:eastAsia="en-US"/>
        </w:rPr>
        <w:t xml:space="preserve">«Раздел 4. </w:t>
      </w:r>
      <w:r>
        <w:rPr>
          <w:rFonts w:eastAsia="Calibri"/>
          <w:szCs w:val="24"/>
          <w:lang w:eastAsia="en-US"/>
        </w:rPr>
        <w:t xml:space="preserve">Выполнение работ по ликвидации несанкционированных свалок, уборка и вывоз мусора с мест общего пользования на территории Тайшетского муниципального образования «Тайшетское городское поселение» на 2025 год</w:t>
      </w:r>
      <w:r>
        <w:rPr>
          <w:rFonts w:eastAsia="Calibri"/>
          <w:highlight w:val="none"/>
          <w:lang w:eastAsia="en-US"/>
        </w:rPr>
      </w:r>
    </w:p>
    <w:p>
      <w:pPr>
        <w:contextualSpacing/>
        <w:ind w:right="0"/>
        <w:jc w:val="center"/>
        <w:rPr>
          <w:rFonts w:eastAsia="Calibri"/>
        </w:rPr>
        <w:suppressLineNumbers w:val="0"/>
      </w:pPr>
      <w:r>
        <w:rPr>
          <w:rFonts w:eastAsia="Calibri"/>
          <w:szCs w:val="24"/>
          <w:highlight w:val="none"/>
          <w:lang w:eastAsia="en-US"/>
        </w:rPr>
      </w:r>
      <w:r>
        <w:rPr>
          <w:rFonts w:eastAsia="Calibri"/>
          <w:szCs w:val="24"/>
          <w:highlight w:val="none"/>
          <w:lang w:eastAsia="en-US"/>
        </w:rPr>
      </w:r>
    </w:p>
    <w:tbl>
      <w:tblPr>
        <w:tblW w:w="9366" w:type="dxa"/>
        <w:jc w:val="center"/>
        <w:tblLayout w:type="fixed"/>
        <w:tblLook w:val="00A0" w:firstRow="1" w:lastRow="0" w:firstColumn="1" w:lastColumn="0" w:noHBand="0" w:noVBand="0"/>
      </w:tblPr>
      <w:tblGrid>
        <w:gridCol w:w="579"/>
        <w:gridCol w:w="1694"/>
        <w:gridCol w:w="3118"/>
        <w:gridCol w:w="992"/>
        <w:gridCol w:w="1134"/>
        <w:gridCol w:w="850"/>
        <w:gridCol w:w="998"/>
      </w:tblGrid>
      <w:tr>
        <w:tblPrEx/>
        <w:trPr>
          <w:jc w:val="center"/>
          <w:trHeight w:val="71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№ п/п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94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Обоснование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Наименование работ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Единица измерения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FFFFFF" w:sz="255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113" w:right="-113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Стоимость единицы, руб.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Кол-во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8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Итого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12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ГЭСНс01-02-002-01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Уборка различных предметов и мусора с элементов автомобильной дороги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км прохода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1623,15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31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ГЭСНс01-04-016-01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Очистка площадок от грязи, пыли и мусора вручную (уборка несанкционированных свалок вручную)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18075,21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2,82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50905,23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31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ГЭСНс01-10-005-01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Погрузка материалов в автотранспортные средства вручную: сподручные и </w:t>
            </w:r>
            <w:r>
              <w:rPr>
                <w:sz w:val="22"/>
                <w:szCs w:val="22"/>
              </w:rPr>
              <w:t xml:space="preserve">навалочные грузы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537,90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91443,00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51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ГЭСНс01-10-001-01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Уборка неорганизованных свалок. Погрузка материалов погрузчиками пневмоколесном ходу с перемещением на расстояние до 10м: мусор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6977,92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bottom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348896,00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45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02-15-1-01-0007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Перевозка грузов автомобилями-самосвалами грузоподъемностью 15 т работающих вне карьера на расстояние: I класс груза до 7 км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т груза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171,72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bottom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309096,00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26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РСО (Региональный северный оператор)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Утилизация отходов ТКО (с 01.01.20024г по 30.06.2024г)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582,48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8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116496,00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26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113" w:right="-113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РСО (Региональный северный оператор)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Утилизация отходов ТКО (с 30.06.2024г по 31.12.2024г)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640,72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128144,00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266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РСО (Региональный северный оператор)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Утилизация отходов V класс опасности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266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МБУ «Гор хоз»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Вывоз и утилизация отходов ЖБО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м3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187,00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4000,00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748000,00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31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ГЭСН47-01-097-03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Ручная побелка деревьев в возрасте 6-8 лет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1000 деревьев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35098,85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0,20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7019,77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4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ГЭСНр68-01-005-01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Вырезка сухих ветвей лиственных пород диметром: до 350 мм при количестве срезанных ветвей до 5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дерево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626,74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3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694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  <w:suppressLineNumbers w:val="0"/>
            </w:pPr>
            <w:r>
              <w:rPr>
                <w:sz w:val="22"/>
                <w:szCs w:val="22"/>
              </w:rPr>
              <w:t xml:space="preserve">ГЭСНр68-01-006-01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Омоложение живых изгородей: мягких с обрезкой побегов на пень до 70%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м живой изгороди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193,38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bottom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0,00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165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7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69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</w:r>
            <w:r>
              <w:rPr>
                <w:rFonts w:eastAsia="Calibri"/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118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 xml:space="preserve">Итого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none" w:color="FFFFFF" w:sz="255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85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8" w:type="dxa"/>
            <w:vAlign w:val="center"/>
            <w:textDirection w:val="lrTb"/>
            <w:noWrap/>
          </w:tcPr>
          <w:p>
            <w:pPr>
              <w:ind w:left="-113" w:right="-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1800000,0</w:t>
            </w:r>
            <w:r>
              <w:rPr>
                <w:sz w:val="22"/>
                <w:szCs w:val="22"/>
              </w:rPr>
            </w:r>
          </w:p>
        </w:tc>
      </w:tr>
    </w:tbl>
    <w:p>
      <w:pPr>
        <w:jc w:val="right"/>
      </w:pPr>
      <w:r>
        <w:rPr>
          <w:highlight w:val="none"/>
        </w:rPr>
        <w:t xml:space="preserve">»</w:t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rPr>
          <w:highlight w:val="none"/>
        </w:rPr>
      </w:r>
      <w:r>
        <w:rPr>
          <w:highlight w:val="none"/>
        </w:rPr>
      </w:r>
    </w:p>
    <w:p>
      <w:pPr>
        <w:rPr>
          <w:highlight w:val="none"/>
        </w:rPr>
      </w:pPr>
      <w:r>
        <w:t xml:space="preserve">Начальник отдела по организационной работе,</w:t>
      </w:r>
      <w:r/>
    </w:p>
    <w:p>
      <w:r>
        <w:t xml:space="preserve">контролю и делопроизводству администрации</w:t>
      </w:r>
      <w:r/>
    </w:p>
    <w:p>
      <w:r>
        <w:t xml:space="preserve">Тайшетского городского поселения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В.Д. Бычкова</w:t>
      </w:r>
      <w:r/>
    </w:p>
    <w:p>
      <w:pPr>
        <w:ind w:right="-11"/>
        <w:jc w:val="right"/>
      </w:pPr>
      <w:r>
        <w:rPr>
          <w:szCs w:val="24"/>
        </w:rPr>
      </w:r>
      <w:r>
        <w:rPr>
          <w:szCs w:val="24"/>
        </w:rPr>
      </w:r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/>
      <w:r/>
    </w:p>
    <w:p>
      <w:pPr>
        <w:ind w:right="-11"/>
        <w:jc w:val="right"/>
      </w:pPr>
      <w:r>
        <w:rPr>
          <w:szCs w:val="24"/>
        </w:rPr>
      </w:r>
      <w:r/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Приложение 5</w:t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к постановлению администрации</w:t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Тайшетского городского поселения</w:t>
      </w:r>
      <w:r>
        <w:rPr>
          <w:szCs w:val="24"/>
        </w:rPr>
      </w:r>
    </w:p>
    <w:p>
      <w:pPr>
        <w:contextualSpacing/>
        <w:ind w:right="-11"/>
        <w:jc w:val="right"/>
        <w:rPr>
          <w:szCs w:val="24"/>
        </w:rPr>
      </w:pPr>
      <w:r>
        <w:rPr>
          <w:szCs w:val="24"/>
        </w:rPr>
        <w:t xml:space="preserve">от 05 июня 2025 года №456</w:t>
      </w:r>
      <w:r>
        <w:rPr>
          <w:szCs w:val="24"/>
        </w:rPr>
      </w:r>
    </w:p>
    <w:p>
      <w:pPr>
        <w:contextualSpacing/>
        <w:ind w:right="-11"/>
        <w:jc w:val="right"/>
        <w:rPr>
          <w:rFonts w:eastAsia="Calibri"/>
          <w:caps/>
          <w:szCs w:val="24"/>
        </w:rPr>
      </w:pPr>
      <w:r>
        <w:rPr>
          <w:rFonts w:eastAsia="Calibri"/>
          <w:caps/>
          <w:szCs w:val="24"/>
        </w:rPr>
      </w:r>
      <w:r>
        <w:rPr>
          <w:rFonts w:eastAsia="Calibri"/>
          <w:caps/>
          <w:szCs w:val="24"/>
        </w:rPr>
      </w:r>
    </w:p>
    <w:p>
      <w:pPr>
        <w:contextualSpacing/>
        <w:ind w:right="-11"/>
        <w:jc w:val="center"/>
        <w:rPr>
          <w:rFonts w:eastAsia="Calibri"/>
          <w:lang w:eastAsia="en-US"/>
        </w:rPr>
      </w:pPr>
      <w:r>
        <w:rPr>
          <w:rFonts w:eastAsia="Calibri"/>
          <w:caps/>
          <w:szCs w:val="24"/>
        </w:rPr>
        <w:t xml:space="preserve">«Раздел 5. </w:t>
      </w:r>
      <w:r>
        <w:rPr>
          <w:rFonts w:eastAsia="Calibri"/>
          <w:szCs w:val="24"/>
        </w:rPr>
        <w:t xml:space="preserve">Выполнение работ по выкосу травы </w:t>
      </w:r>
      <w:r>
        <w:rPr>
          <w:rFonts w:eastAsia="Calibri"/>
          <w:lang w:eastAsia="en-US"/>
        </w:rPr>
      </w:r>
      <w:r>
        <w:rPr>
          <w:rFonts w:eastAsia="Calibri"/>
          <w:szCs w:val="24"/>
        </w:rPr>
        <w:t xml:space="preserve"> </w:t>
      </w:r>
      <w:r>
        <w:rPr>
          <w:rFonts w:eastAsia="Calibri"/>
          <w:szCs w:val="24"/>
          <w:lang w:eastAsia="en-US"/>
        </w:rPr>
        <w:t xml:space="preserve">на территории </w:t>
      </w:r>
      <w:r>
        <w:rPr>
          <w:rFonts w:eastAsia="Calibri"/>
          <w:szCs w:val="24"/>
        </w:rPr>
      </w:r>
    </w:p>
    <w:p>
      <w:pPr>
        <w:contextualSpacing/>
        <w:ind w:right="-11"/>
        <w:jc w:val="center"/>
        <w:rPr>
          <w:rFonts w:eastAsia="Calibri"/>
        </w:rPr>
      </w:pPr>
      <w:r>
        <w:rPr>
          <w:rFonts w:eastAsia="Calibri"/>
          <w:szCs w:val="24"/>
          <w:lang w:eastAsia="en-US"/>
        </w:rPr>
        <w:t xml:space="preserve">Тайшетского муниципального образования </w:t>
      </w:r>
      <w:r>
        <w:rPr>
          <w:rFonts w:eastAsia="Calibri"/>
          <w:szCs w:val="24"/>
        </w:rPr>
      </w:r>
      <w:r/>
      <w:r>
        <w:rPr>
          <w:rFonts w:eastAsia="Calibri"/>
          <w:szCs w:val="24"/>
          <w:lang w:eastAsia="en-US"/>
        </w:rPr>
        <w:t xml:space="preserve">«Тайшетское городское поселение»</w:t>
      </w:r>
      <w:r>
        <w:rPr>
          <w:rFonts w:eastAsia="Calibri"/>
          <w:szCs w:val="24"/>
        </w:rPr>
        <w:t xml:space="preserve"> </w:t>
      </w:r>
      <w:r>
        <w:rPr>
          <w:rFonts w:eastAsia="Calibri"/>
        </w:rPr>
      </w:r>
    </w:p>
    <w:p>
      <w:pPr>
        <w:contextualSpacing/>
        <w:ind w:right="-11"/>
        <w:jc w:val="center"/>
        <w:rPr>
          <w:rFonts w:eastAsia="Calibri"/>
        </w:rPr>
      </w:pPr>
      <w:r>
        <w:rPr>
          <w:rFonts w:eastAsia="Calibri"/>
          <w:szCs w:val="24"/>
        </w:rPr>
        <w:t xml:space="preserve">на 2025 год</w:t>
      </w:r>
      <w:r>
        <w:rPr>
          <w:rFonts w:eastAsia="Calibri"/>
        </w:rPr>
      </w:r>
      <w:r/>
    </w:p>
    <w:p>
      <w:pPr>
        <w:contextualSpacing/>
        <w:ind w:right="-11"/>
        <w:jc w:val="both"/>
        <w:rPr>
          <w:rFonts w:eastAsia="Calibri"/>
          <w:szCs w:val="24"/>
          <w:lang w:eastAsia="en-US"/>
        </w:rPr>
      </w:pPr>
      <w:r>
        <w:rPr>
          <w:rFonts w:eastAsia="Calibri"/>
          <w:szCs w:val="24"/>
          <w:lang w:eastAsia="en-US"/>
        </w:rPr>
      </w:r>
      <w:r>
        <w:rPr>
          <w:rFonts w:eastAsia="Calibri"/>
          <w:szCs w:val="24"/>
          <w:lang w:eastAsia="en-US"/>
        </w:rPr>
      </w:r>
    </w:p>
    <w:tbl>
      <w:tblPr>
        <w:tblW w:w="9565" w:type="dxa"/>
        <w:jc w:val="center"/>
        <w:tblLayout w:type="fixed"/>
        <w:tblLook w:val="00A0" w:firstRow="1" w:lastRow="0" w:firstColumn="1" w:lastColumn="0" w:noHBand="0" w:noVBand="0"/>
      </w:tblPr>
      <w:tblGrid>
        <w:gridCol w:w="673"/>
        <w:gridCol w:w="1874"/>
        <w:gridCol w:w="2584"/>
        <w:gridCol w:w="1069"/>
        <w:gridCol w:w="1134"/>
        <w:gridCol w:w="992"/>
        <w:gridCol w:w="1239"/>
      </w:tblGrid>
      <w:tr>
        <w:tblPrEx/>
        <w:trPr>
          <w:jc w:val="center"/>
          <w:trHeight w:val="111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п/п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7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Обоснование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работ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9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Единица измерения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FFFFFF" w:sz="255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Стоимость единицы, руб.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Кол-во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3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Итого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0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7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ГЭСНс01-01-012-01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Скашивание травы вручную: на обочинах и разделительной полосе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06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214,89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1388,36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23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298344,68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79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7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ГЭСНс01-01-012-02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Скашивание травы вручную: в канавах, на откосах, у оголовков </w:t>
            </w:r>
            <w:r>
              <w:rPr>
                <w:sz w:val="22"/>
                <w:szCs w:val="22"/>
              </w:rPr>
              <w:t xml:space="preserve">водопропускных труб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06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100 м2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322,29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1388,36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23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447455,32</w:t>
            </w:r>
            <w:r>
              <w:rPr>
                <w:sz w:val="22"/>
                <w:szCs w:val="22"/>
              </w:rPr>
            </w:r>
          </w:p>
        </w:tc>
      </w:tr>
      <w:tr>
        <w:tblPrEx/>
        <w:trPr>
          <w:jc w:val="center"/>
          <w:trHeight w:val="32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7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74" w:type="dxa"/>
            <w:textDirection w:val="lrTb"/>
            <w:noWrap w:val="false"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8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Итого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06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239" w:type="dxa"/>
            <w:vAlign w:val="center"/>
            <w:textDirection w:val="lrTb"/>
            <w:noWrap/>
          </w:tcPr>
          <w:p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745 800,00</w:t>
            </w:r>
            <w:r>
              <w:rPr>
                <w:sz w:val="22"/>
                <w:szCs w:val="22"/>
              </w:rPr>
            </w:r>
          </w:p>
        </w:tc>
      </w:tr>
    </w:tbl>
    <w:p>
      <w:pPr>
        <w:jc w:val="right"/>
      </w:pPr>
      <w:r>
        <w:t xml:space="preserve">»</w:t>
      </w:r>
      <w:r/>
    </w:p>
    <w:p>
      <w:r/>
      <w:r/>
    </w:p>
    <w:p>
      <w:r/>
      <w:r/>
    </w:p>
    <w:p>
      <w:r/>
      <w:r/>
    </w:p>
    <w:p>
      <w:r/>
      <w:r/>
    </w:p>
    <w:p>
      <w:r>
        <w:t xml:space="preserve">Начальник отдела по организационной работе,</w:t>
      </w:r>
      <w:r/>
    </w:p>
    <w:p>
      <w:r>
        <w:t xml:space="preserve">контролю и делопроизводству администрации</w:t>
      </w:r>
      <w:r/>
    </w:p>
    <w:p>
      <w:r>
        <w:t xml:space="preserve">Тайшетского городского поселения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В.Д. Бычкова</w:t>
      </w:r>
      <w:r/>
    </w:p>
    <w:p>
      <w:pPr>
        <w:contextualSpacing/>
        <w:ind w:left="0" w:right="-11"/>
        <w:jc w:val="left"/>
        <w:rPr>
          <w:rFonts w:eastAsia="Calibri"/>
          <w:caps/>
          <w:szCs w:val="24"/>
          <w:lang w:eastAsia="en-US"/>
        </w:rPr>
      </w:pPr>
      <w:r>
        <w:rPr>
          <w:rFonts w:eastAsia="Calibri"/>
          <w:caps/>
          <w:szCs w:val="24"/>
          <w:lang w:eastAsia="en-US"/>
        </w:rPr>
      </w:r>
      <w:r>
        <w:rPr>
          <w:rFonts w:eastAsia="Calibri"/>
          <w:caps/>
          <w:szCs w:val="24"/>
          <w:lang w:eastAsia="en-US"/>
        </w:rPr>
      </w:r>
    </w:p>
    <w:p>
      <w:pPr>
        <w:ind w:right="-11"/>
      </w:pPr>
      <w:r>
        <w:rPr>
          <w:szCs w:val="24"/>
        </w:rPr>
      </w:r>
      <w:r>
        <w:rPr>
          <w:szCs w:val="24"/>
        </w:rPr>
      </w:r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/>
      <w:r/>
    </w:p>
    <w:p>
      <w:pPr>
        <w:ind w:right="-11"/>
      </w:pPr>
      <w:r>
        <w:rPr>
          <w:szCs w:val="24"/>
        </w:rPr>
      </w:r>
      <w:r/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Приложение 6</w:t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к постановлению администрации</w:t>
      </w:r>
      <w:r>
        <w:rPr>
          <w:szCs w:val="24"/>
        </w:rPr>
      </w:r>
    </w:p>
    <w:p>
      <w:pPr>
        <w:ind w:right="-11"/>
        <w:jc w:val="right"/>
        <w:rPr>
          <w:szCs w:val="24"/>
        </w:rPr>
      </w:pPr>
      <w:r>
        <w:rPr>
          <w:szCs w:val="24"/>
        </w:rPr>
        <w:t xml:space="preserve">Тайшетского городского поселения</w:t>
      </w:r>
      <w:r>
        <w:rPr>
          <w:szCs w:val="24"/>
        </w:rPr>
      </w:r>
    </w:p>
    <w:p>
      <w:pPr>
        <w:contextualSpacing/>
        <w:ind w:right="-11"/>
        <w:jc w:val="right"/>
        <w:rPr>
          <w:rFonts w:eastAsia="Calibri"/>
          <w:caps/>
          <w:szCs w:val="24"/>
        </w:rPr>
      </w:pPr>
      <w:r>
        <w:rPr>
          <w:szCs w:val="24"/>
        </w:rPr>
        <w:t xml:space="preserve">от 05 июня 2025 года №456</w:t>
      </w:r>
      <w:r>
        <w:rPr>
          <w:rFonts w:eastAsia="Calibri"/>
          <w:caps/>
          <w:szCs w:val="24"/>
        </w:rPr>
      </w:r>
    </w:p>
    <w:p>
      <w:pPr>
        <w:contextualSpacing/>
        <w:ind w:right="-11"/>
        <w:rPr>
          <w:rFonts w:eastAsia="Calibri"/>
          <w:bCs/>
          <w:caps/>
          <w:color w:val="000000"/>
          <w:szCs w:val="24"/>
          <w:lang w:eastAsia="en-US"/>
        </w:rPr>
      </w:pPr>
      <w:r>
        <w:rPr>
          <w:rFonts w:eastAsia="Calibri"/>
          <w:bCs/>
          <w:caps/>
          <w:color w:val="000000"/>
          <w:szCs w:val="24"/>
          <w:lang w:eastAsia="en-US"/>
        </w:rPr>
      </w:r>
      <w:r>
        <w:rPr>
          <w:rFonts w:eastAsia="Calibri"/>
          <w:bCs/>
          <w:caps/>
          <w:color w:val="000000"/>
          <w:szCs w:val="24"/>
          <w:lang w:eastAsia="en-US"/>
        </w:rPr>
      </w:r>
    </w:p>
    <w:p>
      <w:pPr>
        <w:contextualSpacing/>
        <w:ind w:right="-11"/>
        <w:jc w:val="center"/>
        <w:rPr>
          <w:rFonts w:eastAsia="Calibri"/>
          <w:szCs w:val="24"/>
        </w:rPr>
      </w:pPr>
      <w:r>
        <w:rPr>
          <w:rFonts w:eastAsia="Calibri"/>
          <w:caps/>
          <w:szCs w:val="24"/>
        </w:rPr>
        <w:t xml:space="preserve">«РАЗДЕЛ 6.</w:t>
      </w:r>
      <w:r>
        <w:rPr>
          <w:rFonts w:eastAsia="Calibri"/>
          <w:szCs w:val="24"/>
        </w:rPr>
        <w:t xml:space="preserve"> Выполнение комплекса работ по содержанию и ремонту фонтанов, находящихся в местах общего пользования на 2025 год на территории </w:t>
      </w:r>
      <w:r>
        <w:rPr>
          <w:rFonts w:eastAsia="Calibri"/>
          <w:szCs w:val="24"/>
        </w:rPr>
      </w:r>
    </w:p>
    <w:p>
      <w:pPr>
        <w:contextualSpacing/>
        <w:ind w:right="-11"/>
        <w:jc w:val="center"/>
        <w:rPr>
          <w:rFonts w:eastAsia="Calibri"/>
          <w:szCs w:val="24"/>
        </w:rPr>
      </w:pPr>
      <w:r>
        <w:rPr>
          <w:rFonts w:eastAsia="Calibri"/>
          <w:szCs w:val="24"/>
        </w:rPr>
        <w:t xml:space="preserve">Тайшетского муниципального образования </w:t>
      </w:r>
      <w:r>
        <w:rPr>
          <w:rFonts w:eastAsia="Calibri"/>
          <w:szCs w:val="24"/>
        </w:rPr>
      </w:r>
      <w:r>
        <w:rPr>
          <w:rFonts w:eastAsia="Calibri"/>
          <w:szCs w:val="24"/>
        </w:rPr>
        <w:t xml:space="preserve">«Тайшетское городское поселение»</w:t>
      </w:r>
      <w:r>
        <w:rPr>
          <w:rFonts w:eastAsia="Calibri"/>
          <w:szCs w:val="24"/>
        </w:rPr>
      </w:r>
      <w:r>
        <w:rPr>
          <w:rFonts w:eastAsia="Calibri"/>
          <w:szCs w:val="24"/>
        </w:rPr>
      </w:r>
    </w:p>
    <w:p>
      <w:pPr>
        <w:contextualSpacing/>
        <w:ind w:right="-11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</w:r>
      <w:r>
        <w:rPr>
          <w:rFonts w:eastAsia="Calibri"/>
          <w:szCs w:val="24"/>
        </w:rPr>
      </w:r>
    </w:p>
    <w:tbl>
      <w:tblPr>
        <w:tblW w:w="9628" w:type="dxa"/>
        <w:jc w:val="center"/>
        <w:tblLayout w:type="fixed"/>
        <w:tblLook w:val="00A0" w:firstRow="1" w:lastRow="0" w:firstColumn="1" w:lastColumn="0" w:noHBand="0" w:noVBand="0"/>
      </w:tblPr>
      <w:tblGrid>
        <w:gridCol w:w="562"/>
        <w:gridCol w:w="4393"/>
        <w:gridCol w:w="992"/>
        <w:gridCol w:w="1276"/>
        <w:gridCol w:w="992"/>
        <w:gridCol w:w="1413"/>
      </w:tblGrid>
      <w:tr>
        <w:tblPrEx/>
        <w:trPr>
          <w:jc w:val="center"/>
          <w:trHeight w:val="32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2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</w:pPr>
            <w:r>
              <w:t xml:space="preserve">№ п/п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4393" w:type="dxa"/>
            <w:vAlign w:val="center"/>
            <w:vMerge w:val="restart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Наименование работ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</w:pPr>
            <w:r>
              <w:t xml:space="preserve">Единица измерения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one" w:color="FFFFFF" w:sz="255" w:space="0"/>
            </w:tcBorders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</w:pPr>
            <w:r>
              <w:t xml:space="preserve">Стоимость единицы, руб.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Кол-во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3" w:type="dxa"/>
            <w:vAlign w:val="center"/>
            <w:vMerge w:val="restart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Итого</w:t>
            </w:r>
            <w:r/>
          </w:p>
        </w:tc>
      </w:tr>
      <w:tr>
        <w:tblPrEx/>
        <w:trPr>
          <w:jc w:val="center"/>
          <w:trHeight w:val="257"/>
        </w:trPr>
        <w:tc>
          <w:tcPr>
            <w:gridSpan w:val="6"/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28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Ремонтно-отделочные работы</w:t>
            </w:r>
            <w:r/>
          </w:p>
        </w:tc>
      </w:tr>
      <w:tr>
        <w:tblPrEx/>
        <w:trPr>
          <w:jc w:val="center"/>
          <w:trHeight w:val="787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1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4393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</w:pPr>
            <w:r>
              <w:t xml:space="preserve">Улучшенная масляная окраска ранее окрашенных стен: за один раз с расчисткой старой краски до 35%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100 м2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85296,52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0,80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413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68237,20</w:t>
            </w:r>
            <w:r/>
          </w:p>
        </w:tc>
      </w:tr>
      <w:tr>
        <w:tblPrEx/>
        <w:trPr>
          <w:jc w:val="center"/>
          <w:trHeight w:val="267"/>
        </w:trPr>
        <w:tc>
          <w:tcPr>
            <w:gridSpan w:val="6"/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28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Очистка  фонтанов: от мокрого ила и грязи</w:t>
            </w:r>
            <w:r/>
          </w:p>
        </w:tc>
      </w:tr>
      <w:tr>
        <w:tblPrEx/>
        <w:trPr>
          <w:jc w:val="center"/>
          <w:trHeight w:val="407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2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4393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</w:pPr>
            <w:r>
              <w:t xml:space="preserve">Водоотлив электрическими (механическими) насосами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100 м3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7215,80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0,80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413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5772,64</w:t>
            </w:r>
            <w:r/>
          </w:p>
        </w:tc>
      </w:tr>
      <w:tr>
        <w:tblPrEx/>
        <w:trPr>
          <w:jc w:val="center"/>
          <w:trHeight w:val="577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3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4393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</w:pPr>
            <w:r>
              <w:t xml:space="preserve">Очистка  фонтанов: от мокрого ила и грязи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1 м3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5381,64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10,30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413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55452,41</w:t>
            </w:r>
            <w:r/>
          </w:p>
        </w:tc>
      </w:tr>
      <w:tr>
        <w:tblPrEx/>
        <w:trPr>
          <w:jc w:val="center"/>
          <w:trHeight w:val="250"/>
        </w:trPr>
        <w:tc>
          <w:tcPr>
            <w:gridSpan w:val="6"/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628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Материалы</w:t>
            </w:r>
            <w:r/>
          </w:p>
        </w:tc>
      </w:tr>
      <w:tr>
        <w:tblPrEx/>
        <w:trPr>
          <w:jc w:val="center"/>
          <w:trHeight w:val="247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2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4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4393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</w:pPr>
            <w:r>
              <w:t xml:space="preserve">Материалы (Насос, УЗО</w:t>
            </w:r>
            <w:r>
              <w:t xml:space="preserve">, Таймер)</w:t>
            </w:r>
            <w:r/>
          </w:p>
        </w:tc>
        <w:tc>
          <w:tcPr>
            <w:gridSpan w:val="3"/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3260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/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413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23</w:t>
            </w:r>
            <w:r>
              <w:rPr>
                <w:lang w:val="en-US"/>
              </w:rPr>
              <w:t xml:space="preserve">4</w:t>
            </w:r>
            <w:r>
              <w:t xml:space="preserve">37,75</w:t>
            </w:r>
            <w:r/>
          </w:p>
        </w:tc>
      </w:tr>
      <w:tr>
        <w:tblPrEx/>
        <w:trPr>
          <w:jc w:val="center"/>
          <w:trHeight w:val="324"/>
        </w:trPr>
        <w:tc>
          <w:tcPr>
            <w:tcBorders>
              <w:top w:val="none" w:color="FFFFFF" w:sz="255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2" w:type="dxa"/>
            <w:vAlign w:val="bottom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 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4393" w:type="dxa"/>
            <w:vAlign w:val="bottom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Итого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 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276" w:type="dxa"/>
            <w:vAlign w:val="bottom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 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 </w:t>
            </w:r>
            <w:r/>
          </w:p>
        </w:tc>
        <w:tc>
          <w:tcPr>
            <w:tcBorders>
              <w:top w:val="none" w:color="FFFFFF" w:sz="255" w:space="0"/>
              <w:left w:val="none" w:color="FFFFFF" w:sz="255" w:space="0"/>
              <w:bottom w:val="single" w:color="000000" w:sz="4" w:space="0"/>
              <w:right w:val="single" w:color="000000" w:sz="4" w:space="0"/>
            </w:tcBorders>
            <w:tcW w:w="1413" w:type="dxa"/>
            <w:vAlign w:val="center"/>
            <w:textDirection w:val="lrTb"/>
            <w:noWrap/>
          </w:tcPr>
          <w:p>
            <w:pPr>
              <w:ind w:left="-57" w:right="-57"/>
              <w:jc w:val="center"/>
            </w:pPr>
            <w:r>
              <w:t xml:space="preserve">152 9</w:t>
            </w:r>
            <w:bookmarkStart w:id="0" w:name="_GoBack"/>
            <w:r/>
            <w:bookmarkEnd w:id="0"/>
            <w:r>
              <w:t xml:space="preserve">00,00</w:t>
            </w:r>
            <w:r/>
          </w:p>
        </w:tc>
      </w:tr>
    </w:tbl>
    <w:p>
      <w:pPr>
        <w:contextualSpacing/>
        <w:ind w:right="-11"/>
        <w:jc w:val="right"/>
        <w:rPr>
          <w:rFonts w:eastAsia="Calibri"/>
          <w:caps/>
        </w:rPr>
      </w:pPr>
      <w:r>
        <w:rPr>
          <w:rFonts w:eastAsia="Calibri"/>
          <w:caps/>
        </w:rPr>
        <w:t xml:space="preserve">»</w:t>
      </w:r>
      <w:r>
        <w:rPr>
          <w:rFonts w:eastAsia="Calibri"/>
          <w:caps/>
        </w:rPr>
      </w:r>
    </w:p>
    <w:p>
      <w:pPr>
        <w:ind w:right="-11"/>
        <w:rPr>
          <w:rFonts w:eastAsia="Calibri"/>
          <w:color w:val="000000"/>
        </w:rPr>
      </w:pPr>
      <w:r>
        <w:rPr>
          <w:rFonts w:eastAsia="Calibri"/>
          <w:color w:val="000000"/>
          <w:szCs w:val="24"/>
        </w:rPr>
      </w:r>
      <w:r>
        <w:rPr>
          <w:rFonts w:eastAsia="Calibri"/>
          <w:color w:val="000000"/>
          <w:szCs w:val="24"/>
        </w:rPr>
      </w:r>
    </w:p>
    <w:p>
      <w:pPr>
        <w:ind w:right="-11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ind w:right="-11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ind w:right="-11"/>
        <w:rPr>
          <w:rFonts w:eastAsia="Calibri"/>
          <w:color w:val="000000"/>
        </w:rPr>
      </w:pPr>
      <w:r>
        <w:rPr>
          <w:rFonts w:eastAsia="Calibri"/>
          <w:color w:val="000000"/>
          <w:szCs w:val="24"/>
        </w:rPr>
      </w:r>
      <w:r>
        <w:rPr>
          <w:rFonts w:eastAsia="Calibri"/>
          <w:color w:val="000000"/>
        </w:rPr>
      </w:r>
    </w:p>
    <w:p>
      <w:pPr>
        <w:ind w:right="-11"/>
        <w:rPr>
          <w:szCs w:val="24"/>
        </w:rPr>
      </w:pPr>
      <w:r>
        <w:rPr>
          <w:szCs w:val="24"/>
        </w:rPr>
        <w:t xml:space="preserve">Начальник отдела по организационной работе,</w:t>
      </w:r>
      <w:r>
        <w:rPr>
          <w:szCs w:val="24"/>
        </w:rPr>
      </w:r>
    </w:p>
    <w:p>
      <w:pPr>
        <w:ind w:right="-11"/>
        <w:rPr>
          <w:szCs w:val="24"/>
        </w:rPr>
      </w:pPr>
      <w:r>
        <w:rPr>
          <w:szCs w:val="24"/>
        </w:rPr>
        <w:t xml:space="preserve">контролю и делопроизводству администрации</w:t>
      </w:r>
      <w:r>
        <w:rPr>
          <w:szCs w:val="24"/>
        </w:rPr>
      </w:r>
    </w:p>
    <w:p>
      <w:pPr>
        <w:ind w:right="-11"/>
        <w:rPr>
          <w:szCs w:val="24"/>
        </w:rPr>
      </w:pPr>
      <w:r>
        <w:rPr>
          <w:szCs w:val="24"/>
        </w:rPr>
        <w:t xml:space="preserve">Тайшетского городского поселения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В.Д. Бычкова</w:t>
      </w:r>
      <w:r>
        <w:rPr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Calibri">
    <w:panose1 w:val="020F0502020204030204"/>
  </w:font>
  <w:font w:name="Calibri Light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894" w:hanging="1185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2344" w:hanging="975"/>
      </w:pPr>
    </w:lvl>
    <w:lvl w:ilvl="1">
      <w:start w:val="1"/>
      <w:numFmt w:val="lowerLetter"/>
      <w:isLgl w:val="false"/>
      <w:suff w:val="tab"/>
      <w:lvlText w:val="%2."/>
      <w:lvlJc w:val="left"/>
      <w:pPr>
        <w:ind w:left="244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16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88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60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32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04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76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48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6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360" w:hanging="36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840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56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28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00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72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44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16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88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600" w:hanging="180"/>
      </w:pPr>
      <w:rPr>
        <w:rFonts w:cs="Times New Roman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5" w:hanging="360"/>
        <w:tabs>
          <w:tab w:val="num" w:pos="1785" w:leader="none"/>
        </w:tabs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505" w:hanging="180"/>
        <w:tabs>
          <w:tab w:val="num" w:pos="2505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225" w:hanging="360"/>
        <w:tabs>
          <w:tab w:val="num" w:pos="3225" w:leader="none"/>
        </w:tabs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945" w:hanging="360"/>
        <w:tabs>
          <w:tab w:val="num" w:pos="3945" w:leader="none"/>
        </w:tabs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665" w:hanging="180"/>
        <w:tabs>
          <w:tab w:val="num" w:pos="4665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385" w:hanging="360"/>
        <w:tabs>
          <w:tab w:val="num" w:pos="5385" w:leader="none"/>
        </w:tabs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105" w:hanging="360"/>
        <w:tabs>
          <w:tab w:val="num" w:pos="6105" w:leader="none"/>
        </w:tabs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825" w:hanging="180"/>
        <w:tabs>
          <w:tab w:val="num" w:pos="6825" w:leader="none"/>
        </w:tabs>
      </w:pPr>
      <w:rPr>
        <w:rFonts w:cs="Times New Roman"/>
      </w:rPr>
    </w:lvl>
  </w:abstractNum>
  <w:num w:numId="1">
    <w:abstractNumId w:val="7"/>
  </w:num>
  <w:num w:numId="2">
    <w:abstractNumId w:val="8"/>
  </w:num>
  <w:num w:numId="3">
    <w:abstractNumId w:val="5"/>
  </w:num>
  <w:num w:numId="4">
    <w:abstractNumId w:val="4"/>
  </w:num>
  <w:num w:numId="5">
    <w:abstractNumId w:val="0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2"/>
  </w:num>
  <w:num w:numId="9">
    <w:abstractNumId w:val="6"/>
  </w:num>
  <w:num w:numId="10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6">
    <w:name w:val="Heading 2 Char"/>
    <w:basedOn w:val="682"/>
    <w:link w:val="674"/>
    <w:uiPriority w:val="9"/>
    <w:rPr>
      <w:rFonts w:ascii="Arial" w:hAnsi="Arial" w:eastAsia="Arial" w:cs="Arial"/>
      <w:sz w:val="34"/>
    </w:rPr>
  </w:style>
  <w:style w:type="character" w:styleId="20">
    <w:name w:val="Heading 4 Char"/>
    <w:basedOn w:val="682"/>
    <w:link w:val="676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82"/>
    <w:link w:val="677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682"/>
    <w:link w:val="678"/>
    <w:uiPriority w:val="9"/>
    <w:rPr>
      <w:rFonts w:ascii="Arial" w:hAnsi="Arial" w:eastAsia="Arial" w:cs="Arial"/>
      <w:b/>
      <w:bCs/>
      <w:sz w:val="22"/>
      <w:szCs w:val="22"/>
    </w:rPr>
  </w:style>
  <w:style w:type="character" w:styleId="26">
    <w:name w:val="Heading 7 Char"/>
    <w:basedOn w:val="682"/>
    <w:link w:val="67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28">
    <w:name w:val="Heading 8 Char"/>
    <w:basedOn w:val="682"/>
    <w:link w:val="680"/>
    <w:uiPriority w:val="9"/>
    <w:rPr>
      <w:rFonts w:ascii="Arial" w:hAnsi="Arial" w:eastAsia="Arial" w:cs="Arial"/>
      <w:i/>
      <w:iCs/>
      <w:sz w:val="22"/>
      <w:szCs w:val="22"/>
    </w:rPr>
  </w:style>
  <w:style w:type="character" w:styleId="30">
    <w:name w:val="Heading 9 Char"/>
    <w:basedOn w:val="682"/>
    <w:link w:val="681"/>
    <w:uiPriority w:val="9"/>
    <w:rPr>
      <w:rFonts w:ascii="Arial" w:hAnsi="Arial" w:eastAsia="Arial" w:cs="Arial"/>
      <w:i/>
      <w:iCs/>
      <w:sz w:val="21"/>
      <w:szCs w:val="21"/>
    </w:rPr>
  </w:style>
  <w:style w:type="character" w:styleId="35">
    <w:name w:val="Title Char"/>
    <w:basedOn w:val="682"/>
    <w:link w:val="694"/>
    <w:uiPriority w:val="10"/>
    <w:rPr>
      <w:sz w:val="48"/>
      <w:szCs w:val="48"/>
    </w:rPr>
  </w:style>
  <w:style w:type="character" w:styleId="37">
    <w:name w:val="Subtitle Char"/>
    <w:basedOn w:val="682"/>
    <w:link w:val="696"/>
    <w:uiPriority w:val="11"/>
    <w:rPr>
      <w:sz w:val="24"/>
      <w:szCs w:val="24"/>
    </w:rPr>
  </w:style>
  <w:style w:type="character" w:styleId="39">
    <w:name w:val="Quote Char"/>
    <w:link w:val="698"/>
    <w:uiPriority w:val="29"/>
    <w:rPr>
      <w:i/>
    </w:rPr>
  </w:style>
  <w:style w:type="character" w:styleId="41">
    <w:name w:val="Intense Quote Char"/>
    <w:link w:val="700"/>
    <w:uiPriority w:val="30"/>
    <w:rPr>
      <w:i/>
    </w:rPr>
  </w:style>
  <w:style w:type="character" w:styleId="176">
    <w:name w:val="Footnote Text Char"/>
    <w:link w:val="835"/>
    <w:uiPriority w:val="99"/>
    <w:rPr>
      <w:sz w:val="18"/>
    </w:rPr>
  </w:style>
  <w:style w:type="character" w:styleId="179">
    <w:name w:val="Endnote Text Char"/>
    <w:link w:val="838"/>
    <w:uiPriority w:val="99"/>
    <w:rPr>
      <w:sz w:val="20"/>
    </w:rPr>
  </w:style>
  <w:style w:type="paragraph" w:styleId="672" w:default="1">
    <w:name w:val="Normal"/>
    <w:qFormat/>
    <w:rPr>
      <w:sz w:val="24"/>
    </w:rPr>
  </w:style>
  <w:style w:type="paragraph" w:styleId="673">
    <w:name w:val="Heading 1"/>
    <w:basedOn w:val="672"/>
    <w:next w:val="672"/>
    <w:link w:val="875"/>
    <w:qFormat/>
    <w:pPr>
      <w:keepNext/>
      <w:spacing w:before="240" w:after="60"/>
      <w:outlineLvl w:val="0"/>
    </w:pPr>
    <w:rPr>
      <w:rFonts w:ascii="Calibri Light" w:hAnsi="Calibri Light"/>
      <w:b/>
      <w:bCs/>
      <w:sz w:val="32"/>
      <w:szCs w:val="32"/>
    </w:rPr>
  </w:style>
  <w:style w:type="paragraph" w:styleId="674">
    <w:name w:val="Heading 2"/>
    <w:basedOn w:val="672"/>
    <w:next w:val="672"/>
    <w:link w:val="68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5">
    <w:name w:val="Heading 3"/>
    <w:basedOn w:val="672"/>
    <w:next w:val="672"/>
    <w:link w:val="854"/>
    <w:qFormat/>
    <w:pPr>
      <w:jc w:val="both"/>
      <w:keepNext/>
      <w:outlineLvl w:val="2"/>
    </w:pPr>
  </w:style>
  <w:style w:type="paragraph" w:styleId="676">
    <w:name w:val="Heading 4"/>
    <w:basedOn w:val="672"/>
    <w:next w:val="672"/>
    <w:link w:val="68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7">
    <w:name w:val="Heading 5"/>
    <w:basedOn w:val="672"/>
    <w:next w:val="672"/>
    <w:link w:val="68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Cs w:val="24"/>
    </w:rPr>
  </w:style>
  <w:style w:type="paragraph" w:styleId="678">
    <w:name w:val="Heading 6"/>
    <w:basedOn w:val="672"/>
    <w:next w:val="672"/>
    <w:link w:val="69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79">
    <w:name w:val="Heading 7"/>
    <w:basedOn w:val="672"/>
    <w:next w:val="672"/>
    <w:link w:val="69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80">
    <w:name w:val="Heading 8"/>
    <w:basedOn w:val="672"/>
    <w:next w:val="672"/>
    <w:link w:val="69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1">
    <w:name w:val="Heading 9"/>
    <w:basedOn w:val="672"/>
    <w:next w:val="672"/>
    <w:link w:val="69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2" w:default="1">
    <w:name w:val="Default Paragraph Font"/>
    <w:uiPriority w:val="1"/>
    <w:semiHidden/>
    <w:unhideWhenUsed/>
  </w:style>
  <w:style w:type="table" w:styleId="68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4" w:default="1">
    <w:name w:val="No List"/>
    <w:uiPriority w:val="99"/>
    <w:semiHidden/>
    <w:unhideWhenUsed/>
  </w:style>
  <w:style w:type="character" w:styleId="685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686" w:customStyle="1">
    <w:name w:val="Заголовок 2 Знак"/>
    <w:link w:val="674"/>
    <w:uiPriority w:val="9"/>
    <w:rPr>
      <w:rFonts w:ascii="Arial" w:hAnsi="Arial" w:eastAsia="Arial" w:cs="Arial"/>
      <w:sz w:val="34"/>
    </w:rPr>
  </w:style>
  <w:style w:type="character" w:styleId="687" w:customStyle="1">
    <w:name w:val="Heading 3 Char"/>
    <w:uiPriority w:val="9"/>
    <w:rPr>
      <w:rFonts w:ascii="Arial" w:hAnsi="Arial" w:eastAsia="Arial" w:cs="Arial"/>
      <w:sz w:val="30"/>
      <w:szCs w:val="30"/>
    </w:rPr>
  </w:style>
  <w:style w:type="character" w:styleId="688" w:customStyle="1">
    <w:name w:val="Заголовок 4 Знак"/>
    <w:link w:val="676"/>
    <w:uiPriority w:val="9"/>
    <w:rPr>
      <w:rFonts w:ascii="Arial" w:hAnsi="Arial" w:eastAsia="Arial" w:cs="Arial"/>
      <w:b/>
      <w:bCs/>
      <w:sz w:val="26"/>
      <w:szCs w:val="26"/>
    </w:rPr>
  </w:style>
  <w:style w:type="character" w:styleId="689" w:customStyle="1">
    <w:name w:val="Заголовок 5 Знак"/>
    <w:link w:val="677"/>
    <w:uiPriority w:val="9"/>
    <w:rPr>
      <w:rFonts w:ascii="Arial" w:hAnsi="Arial" w:eastAsia="Arial" w:cs="Arial"/>
      <w:b/>
      <w:bCs/>
      <w:sz w:val="24"/>
      <w:szCs w:val="24"/>
    </w:rPr>
  </w:style>
  <w:style w:type="character" w:styleId="690" w:customStyle="1">
    <w:name w:val="Заголовок 6 Знак"/>
    <w:link w:val="678"/>
    <w:uiPriority w:val="9"/>
    <w:rPr>
      <w:rFonts w:ascii="Arial" w:hAnsi="Arial" w:eastAsia="Arial" w:cs="Arial"/>
      <w:b/>
      <w:bCs/>
      <w:sz w:val="22"/>
      <w:szCs w:val="22"/>
    </w:rPr>
  </w:style>
  <w:style w:type="character" w:styleId="691" w:customStyle="1">
    <w:name w:val="Заголовок 7 Знак"/>
    <w:link w:val="67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2" w:customStyle="1">
    <w:name w:val="Заголовок 8 Знак"/>
    <w:link w:val="680"/>
    <w:uiPriority w:val="9"/>
    <w:rPr>
      <w:rFonts w:ascii="Arial" w:hAnsi="Arial" w:eastAsia="Arial" w:cs="Arial"/>
      <w:i/>
      <w:iCs/>
      <w:sz w:val="22"/>
      <w:szCs w:val="22"/>
    </w:rPr>
  </w:style>
  <w:style w:type="character" w:styleId="693" w:customStyle="1">
    <w:name w:val="Заголовок 9 Знак"/>
    <w:link w:val="681"/>
    <w:uiPriority w:val="9"/>
    <w:rPr>
      <w:rFonts w:ascii="Arial" w:hAnsi="Arial" w:eastAsia="Arial" w:cs="Arial"/>
      <w:i/>
      <w:iCs/>
      <w:sz w:val="21"/>
      <w:szCs w:val="21"/>
    </w:rPr>
  </w:style>
  <w:style w:type="paragraph" w:styleId="694">
    <w:name w:val="Title"/>
    <w:basedOn w:val="672"/>
    <w:next w:val="672"/>
    <w:link w:val="69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5" w:customStyle="1">
    <w:name w:val="Заголовок Знак"/>
    <w:link w:val="694"/>
    <w:uiPriority w:val="10"/>
    <w:rPr>
      <w:sz w:val="48"/>
      <w:szCs w:val="48"/>
    </w:rPr>
  </w:style>
  <w:style w:type="paragraph" w:styleId="696">
    <w:name w:val="Subtitle"/>
    <w:basedOn w:val="672"/>
    <w:next w:val="672"/>
    <w:link w:val="697"/>
    <w:uiPriority w:val="11"/>
    <w:qFormat/>
    <w:pPr>
      <w:spacing w:before="200" w:after="200"/>
    </w:pPr>
    <w:rPr>
      <w:szCs w:val="24"/>
    </w:rPr>
  </w:style>
  <w:style w:type="character" w:styleId="697" w:customStyle="1">
    <w:name w:val="Подзаголовок Знак"/>
    <w:link w:val="696"/>
    <w:uiPriority w:val="11"/>
    <w:rPr>
      <w:sz w:val="24"/>
      <w:szCs w:val="24"/>
    </w:rPr>
  </w:style>
  <w:style w:type="paragraph" w:styleId="698">
    <w:name w:val="Quote"/>
    <w:basedOn w:val="672"/>
    <w:next w:val="672"/>
    <w:link w:val="699"/>
    <w:uiPriority w:val="29"/>
    <w:qFormat/>
    <w:pPr>
      <w:ind w:left="720" w:right="720"/>
    </w:pPr>
    <w:rPr>
      <w:i/>
    </w:rPr>
  </w:style>
  <w:style w:type="character" w:styleId="699" w:customStyle="1">
    <w:name w:val="Цитата 2 Знак"/>
    <w:link w:val="698"/>
    <w:uiPriority w:val="29"/>
    <w:rPr>
      <w:i/>
    </w:rPr>
  </w:style>
  <w:style w:type="paragraph" w:styleId="700">
    <w:name w:val="Intense Quote"/>
    <w:basedOn w:val="672"/>
    <w:next w:val="672"/>
    <w:link w:val="701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1" w:customStyle="1">
    <w:name w:val="Выделенная цитата Знак"/>
    <w:link w:val="700"/>
    <w:uiPriority w:val="30"/>
    <w:rPr>
      <w:i/>
    </w:rPr>
  </w:style>
  <w:style w:type="paragraph" w:styleId="702">
    <w:name w:val="Header"/>
    <w:basedOn w:val="672"/>
    <w:link w:val="871"/>
    <w:pPr>
      <w:tabs>
        <w:tab w:val="center" w:pos="4677" w:leader="none"/>
        <w:tab w:val="right" w:pos="9355" w:leader="none"/>
      </w:tabs>
    </w:pPr>
    <w:rPr>
      <w:szCs w:val="24"/>
      <w:lang w:val="en-US" w:eastAsia="en-US"/>
    </w:rPr>
  </w:style>
  <w:style w:type="character" w:styleId="703" w:customStyle="1">
    <w:name w:val="Header Char"/>
    <w:uiPriority w:val="99"/>
  </w:style>
  <w:style w:type="paragraph" w:styleId="704">
    <w:name w:val="Footer"/>
    <w:basedOn w:val="672"/>
    <w:link w:val="862"/>
    <w:pPr>
      <w:spacing w:after="200" w:line="276" w:lineRule="auto"/>
      <w:tabs>
        <w:tab w:val="center" w:pos="4677" w:leader="none"/>
        <w:tab w:val="right" w:pos="9355" w:leader="none"/>
      </w:tabs>
    </w:pPr>
    <w:rPr>
      <w:rFonts w:ascii="Calibri" w:hAnsi="Calibri" w:cs="Calibri"/>
      <w:sz w:val="22"/>
      <w:szCs w:val="22"/>
    </w:rPr>
  </w:style>
  <w:style w:type="character" w:styleId="705" w:customStyle="1">
    <w:name w:val="Footer Char"/>
    <w:uiPriority w:val="99"/>
  </w:style>
  <w:style w:type="paragraph" w:styleId="706">
    <w:name w:val="Caption"/>
    <w:basedOn w:val="672"/>
    <w:next w:val="672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styleId="707" w:customStyle="1">
    <w:name w:val="Caption Char"/>
    <w:uiPriority w:val="99"/>
  </w:style>
  <w:style w:type="table" w:styleId="708">
    <w:name w:val="Table Grid"/>
    <w:uiPriority w:val="59"/>
    <w:rPr>
      <w:lang w:eastAsia="zh-CN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9" w:customStyle="1">
    <w:name w:val="Table Grid Light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0">
    <w:name w:val="Plain Table 1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1">
    <w:name w:val="Plain Table 2"/>
    <w:uiPriority w:val="59"/>
    <w:rPr>
      <w:lang w:eastAsia="zh-CN"/>
    </w:rPr>
    <w:tblPr>
      <w:tblInd w:w="0" w:type="dxa"/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2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13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14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15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16" w:customStyle="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17" w:customStyle="1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18" w:customStyle="1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19" w:customStyle="1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20" w:customStyle="1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21" w:customStyle="1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2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23" w:customStyle="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24" w:customStyle="1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25" w:customStyle="1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26" w:customStyle="1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27" w:customStyle="1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28" w:customStyle="1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29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0" w:customStyle="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1" w:customStyle="1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2" w:customStyle="1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3" w:customStyle="1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4" w:customStyle="1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5" w:customStyle="1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6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7" w:customStyle="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8" w:customStyle="1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9" w:customStyle="1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0" w:customStyle="1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1" w:customStyle="1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2" w:customStyle="1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3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bfbfbf" w:fill="bfbfbf"/>
      <w:tblCellMar>
        <w:left w:w="0" w:type="dxa"/>
        <w:top w:w="0" w:type="dxa"/>
        <w:right w:w="0" w:type="dxa"/>
        <w:bottom w:w="0" w:type="dxa"/>
      </w:tblCellMar>
    </w:tblPr>
  </w:style>
  <w:style w:type="table" w:styleId="744" w:customStyle="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5f1" w:fill="dae5f1"/>
      <w:tblCellMar>
        <w:left w:w="0" w:type="dxa"/>
        <w:top w:w="0" w:type="dxa"/>
        <w:right w:w="0" w:type="dxa"/>
        <w:bottom w:w="0" w:type="dxa"/>
      </w:tblCellMar>
    </w:tblPr>
  </w:style>
  <w:style w:type="table" w:styleId="745" w:customStyle="1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2dcdc" w:fill="f2dcdc"/>
      <w:tblCellMar>
        <w:left w:w="0" w:type="dxa"/>
        <w:top w:w="0" w:type="dxa"/>
        <w:right w:w="0" w:type="dxa"/>
        <w:bottom w:w="0" w:type="dxa"/>
      </w:tblCellMar>
    </w:tblPr>
  </w:style>
  <w:style w:type="table" w:styleId="746" w:customStyle="1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af1dc" w:fill="eaf1dc"/>
      <w:tblCellMar>
        <w:left w:w="0" w:type="dxa"/>
        <w:top w:w="0" w:type="dxa"/>
        <w:right w:w="0" w:type="dxa"/>
        <w:bottom w:w="0" w:type="dxa"/>
      </w:tblCellMar>
    </w:tblPr>
  </w:style>
  <w:style w:type="table" w:styleId="747" w:customStyle="1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5dfec" w:fill="e5dfec"/>
      <w:tblCellMar>
        <w:left w:w="0" w:type="dxa"/>
        <w:top w:w="0" w:type="dxa"/>
        <w:right w:w="0" w:type="dxa"/>
        <w:bottom w:w="0" w:type="dxa"/>
      </w:tblCellMar>
    </w:tblPr>
  </w:style>
  <w:style w:type="table" w:styleId="748" w:customStyle="1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ef3" w:fill="daeef3"/>
      <w:tblCellMar>
        <w:left w:w="0" w:type="dxa"/>
        <w:top w:w="0" w:type="dxa"/>
        <w:right w:w="0" w:type="dxa"/>
        <w:bottom w:w="0" w:type="dxa"/>
      </w:tblCellMar>
    </w:tblPr>
  </w:style>
  <w:style w:type="table" w:styleId="749" w:customStyle="1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de9d8" w:fill="fde9d8"/>
      <w:tblCellMar>
        <w:left w:w="0" w:type="dxa"/>
        <w:top w:w="0" w:type="dxa"/>
        <w:right w:w="0" w:type="dxa"/>
        <w:bottom w:w="0" w:type="dxa"/>
      </w:tblCellMar>
    </w:tblPr>
  </w:style>
  <w:style w:type="table" w:styleId="750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1" w:customStyle="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2" w:customStyle="1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3" w:customStyle="1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4" w:customStyle="1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5" w:customStyle="1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6" w:customStyle="1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8" w:customStyle="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9" w:customStyle="1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0" w:customStyle="1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1" w:customStyle="1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2" w:customStyle="1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3" w:customStyle="1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4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65" w:customStyle="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66" w:customStyle="1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67" w:customStyle="1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68" w:customStyle="1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69" w:customStyle="1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70" w:customStyle="1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71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2" w:customStyle="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3" w:customStyle="1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4" w:customStyle="1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5" w:customStyle="1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6" w:customStyle="1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7" w:customStyle="1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8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9" w:customStyle="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0" w:customStyle="1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1" w:customStyle="1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2" w:customStyle="1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3" w:customStyle="1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4" w:customStyle="1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5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6" w:customStyle="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7" w:customStyle="1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8" w:customStyle="1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9" w:customStyle="1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0" w:customStyle="1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1" w:customStyle="1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2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shd w:val="clear" w:color="7f7f7f" w:fill="7f7f7f"/>
      <w:tblCellMar>
        <w:left w:w="0" w:type="dxa"/>
        <w:top w:w="0" w:type="dxa"/>
        <w:right w:w="0" w:type="dxa"/>
        <w:bottom w:w="0" w:type="dxa"/>
      </w:tblCellMar>
    </w:tblPr>
  </w:style>
  <w:style w:type="table" w:styleId="793" w:customStyle="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shd w:val="clear" w:color="4f81bd" w:fill="4f81bd"/>
      <w:tblCellMar>
        <w:left w:w="0" w:type="dxa"/>
        <w:top w:w="0" w:type="dxa"/>
        <w:right w:w="0" w:type="dxa"/>
        <w:bottom w:w="0" w:type="dxa"/>
      </w:tblCellMar>
    </w:tblPr>
  </w:style>
  <w:style w:type="table" w:styleId="794" w:customStyle="1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shd w:val="clear" w:color="d99695" w:fill="d99695"/>
      <w:tblCellMar>
        <w:left w:w="0" w:type="dxa"/>
        <w:top w:w="0" w:type="dxa"/>
        <w:right w:w="0" w:type="dxa"/>
        <w:bottom w:w="0" w:type="dxa"/>
      </w:tblCellMar>
    </w:tblPr>
  </w:style>
  <w:style w:type="table" w:styleId="795" w:customStyle="1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shd w:val="clear" w:color="c3d69b" w:fill="c3d69b"/>
      <w:tblCellMar>
        <w:left w:w="0" w:type="dxa"/>
        <w:top w:w="0" w:type="dxa"/>
        <w:right w:w="0" w:type="dxa"/>
        <w:bottom w:w="0" w:type="dxa"/>
      </w:tblCellMar>
    </w:tblPr>
  </w:style>
  <w:style w:type="table" w:styleId="796" w:customStyle="1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shd w:val="clear" w:color="b2a1c6" w:fill="b2a1c6"/>
      <w:tblCellMar>
        <w:left w:w="0" w:type="dxa"/>
        <w:top w:w="0" w:type="dxa"/>
        <w:right w:w="0" w:type="dxa"/>
        <w:bottom w:w="0" w:type="dxa"/>
      </w:tblCellMar>
    </w:tblPr>
  </w:style>
  <w:style w:type="table" w:styleId="797" w:customStyle="1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shd w:val="clear" w:color="92ccdc" w:fill="92ccdc"/>
      <w:tblCellMar>
        <w:left w:w="0" w:type="dxa"/>
        <w:top w:w="0" w:type="dxa"/>
        <w:right w:w="0" w:type="dxa"/>
        <w:bottom w:w="0" w:type="dxa"/>
      </w:tblCellMar>
    </w:tblPr>
  </w:style>
  <w:style w:type="table" w:styleId="798" w:customStyle="1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shd w:val="clear" w:color="fac090" w:fill="fac090"/>
      <w:tblCellMar>
        <w:left w:w="0" w:type="dxa"/>
        <w:top w:w="0" w:type="dxa"/>
        <w:right w:w="0" w:type="dxa"/>
        <w:bottom w:w="0" w:type="dxa"/>
      </w:tblCellMar>
    </w:tblPr>
  </w:style>
  <w:style w:type="table" w:styleId="799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0" w:customStyle="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1" w:customStyle="1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2" w:customStyle="1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3" w:customStyle="1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4" w:customStyle="1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5" w:customStyle="1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6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7" w:customStyle="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8" w:customStyle="1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9" w:customStyle="1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0" w:customStyle="1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1" w:customStyle="1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2" w:customStyle="1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3" w:customStyle="1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4" w:customStyle="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5" w:customStyle="1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6" w:customStyle="1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7" w:customStyle="1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8" w:customStyle="1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19" w:customStyle="1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20" w:customStyle="1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1" w:customStyle="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2" w:customStyle="1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3" w:customStyle="1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4" w:customStyle="1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5" w:customStyle="1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6" w:customStyle="1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7" w:customStyle="1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8" w:customStyle="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9" w:customStyle="1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0" w:customStyle="1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1" w:customStyle="1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2" w:customStyle="1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3" w:customStyle="1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character" w:styleId="834">
    <w:name w:val="Hyperlink"/>
    <w:uiPriority w:val="99"/>
    <w:unhideWhenUsed/>
    <w:rPr>
      <w:color w:val="0000ff"/>
      <w:u w:val="single"/>
    </w:rPr>
  </w:style>
  <w:style w:type="paragraph" w:styleId="835">
    <w:name w:val="footnote text"/>
    <w:basedOn w:val="672"/>
    <w:link w:val="836"/>
    <w:uiPriority w:val="99"/>
    <w:semiHidden/>
    <w:unhideWhenUsed/>
    <w:pPr>
      <w:spacing w:after="40"/>
    </w:pPr>
    <w:rPr>
      <w:sz w:val="18"/>
    </w:rPr>
  </w:style>
  <w:style w:type="character" w:styleId="836" w:customStyle="1">
    <w:name w:val="Текст сноски Знак"/>
    <w:link w:val="835"/>
    <w:uiPriority w:val="99"/>
    <w:rPr>
      <w:sz w:val="18"/>
    </w:rPr>
  </w:style>
  <w:style w:type="character" w:styleId="837">
    <w:name w:val="footnote reference"/>
    <w:uiPriority w:val="99"/>
    <w:unhideWhenUsed/>
    <w:rPr>
      <w:vertAlign w:val="superscript"/>
    </w:rPr>
  </w:style>
  <w:style w:type="paragraph" w:styleId="838">
    <w:name w:val="endnote text"/>
    <w:basedOn w:val="672"/>
    <w:link w:val="839"/>
    <w:uiPriority w:val="99"/>
    <w:semiHidden/>
    <w:unhideWhenUsed/>
    <w:rPr>
      <w:sz w:val="20"/>
    </w:rPr>
  </w:style>
  <w:style w:type="character" w:styleId="839" w:customStyle="1">
    <w:name w:val="Текст концевой сноски Знак"/>
    <w:link w:val="838"/>
    <w:uiPriority w:val="99"/>
    <w:rPr>
      <w:sz w:val="20"/>
    </w:rPr>
  </w:style>
  <w:style w:type="character" w:styleId="840">
    <w:name w:val="endnote reference"/>
    <w:uiPriority w:val="99"/>
    <w:semiHidden/>
    <w:unhideWhenUsed/>
    <w:rPr>
      <w:vertAlign w:val="superscript"/>
    </w:rPr>
  </w:style>
  <w:style w:type="paragraph" w:styleId="841">
    <w:name w:val="toc 1"/>
    <w:basedOn w:val="672"/>
    <w:next w:val="672"/>
    <w:uiPriority w:val="39"/>
    <w:unhideWhenUsed/>
    <w:pPr>
      <w:spacing w:after="57"/>
    </w:pPr>
  </w:style>
  <w:style w:type="paragraph" w:styleId="842">
    <w:name w:val="toc 2"/>
    <w:basedOn w:val="672"/>
    <w:next w:val="672"/>
    <w:uiPriority w:val="39"/>
    <w:unhideWhenUsed/>
    <w:pPr>
      <w:ind w:left="283"/>
      <w:spacing w:after="57"/>
    </w:pPr>
  </w:style>
  <w:style w:type="paragraph" w:styleId="843">
    <w:name w:val="toc 3"/>
    <w:basedOn w:val="672"/>
    <w:next w:val="672"/>
    <w:uiPriority w:val="39"/>
    <w:unhideWhenUsed/>
    <w:pPr>
      <w:ind w:left="567"/>
      <w:spacing w:after="57"/>
    </w:pPr>
  </w:style>
  <w:style w:type="paragraph" w:styleId="844">
    <w:name w:val="toc 4"/>
    <w:basedOn w:val="672"/>
    <w:next w:val="672"/>
    <w:uiPriority w:val="39"/>
    <w:unhideWhenUsed/>
    <w:pPr>
      <w:ind w:left="850"/>
      <w:spacing w:after="57"/>
    </w:pPr>
  </w:style>
  <w:style w:type="paragraph" w:styleId="845">
    <w:name w:val="toc 5"/>
    <w:basedOn w:val="672"/>
    <w:next w:val="672"/>
    <w:uiPriority w:val="39"/>
    <w:unhideWhenUsed/>
    <w:pPr>
      <w:ind w:left="1134"/>
      <w:spacing w:after="57"/>
    </w:pPr>
  </w:style>
  <w:style w:type="paragraph" w:styleId="846">
    <w:name w:val="toc 6"/>
    <w:basedOn w:val="672"/>
    <w:next w:val="672"/>
    <w:uiPriority w:val="39"/>
    <w:unhideWhenUsed/>
    <w:pPr>
      <w:ind w:left="1417"/>
      <w:spacing w:after="57"/>
    </w:pPr>
  </w:style>
  <w:style w:type="paragraph" w:styleId="847">
    <w:name w:val="toc 7"/>
    <w:basedOn w:val="672"/>
    <w:next w:val="672"/>
    <w:uiPriority w:val="39"/>
    <w:unhideWhenUsed/>
    <w:pPr>
      <w:ind w:left="1701"/>
      <w:spacing w:after="57"/>
    </w:pPr>
  </w:style>
  <w:style w:type="paragraph" w:styleId="848">
    <w:name w:val="toc 8"/>
    <w:basedOn w:val="672"/>
    <w:next w:val="672"/>
    <w:uiPriority w:val="39"/>
    <w:unhideWhenUsed/>
    <w:pPr>
      <w:ind w:left="1984"/>
      <w:spacing w:after="57"/>
    </w:pPr>
  </w:style>
  <w:style w:type="paragraph" w:styleId="849">
    <w:name w:val="toc 9"/>
    <w:basedOn w:val="672"/>
    <w:next w:val="672"/>
    <w:uiPriority w:val="39"/>
    <w:unhideWhenUsed/>
    <w:pPr>
      <w:ind w:left="2268"/>
      <w:spacing w:after="57"/>
    </w:pPr>
  </w:style>
  <w:style w:type="paragraph" w:styleId="850">
    <w:name w:val="TOC Heading"/>
    <w:uiPriority w:val="39"/>
    <w:unhideWhenUsed/>
    <w:rPr>
      <w:lang w:eastAsia="zh-CN"/>
    </w:rPr>
  </w:style>
  <w:style w:type="paragraph" w:styleId="851">
    <w:name w:val="table of figures"/>
    <w:basedOn w:val="672"/>
    <w:next w:val="672"/>
    <w:uiPriority w:val="99"/>
    <w:unhideWhenUsed/>
  </w:style>
  <w:style w:type="paragraph" w:styleId="852">
    <w:name w:val="Body Text"/>
    <w:basedOn w:val="672"/>
    <w:link w:val="853"/>
    <w:pPr>
      <w:jc w:val="both"/>
    </w:pPr>
    <w:rPr>
      <w:sz w:val="22"/>
    </w:rPr>
  </w:style>
  <w:style w:type="character" w:styleId="853" w:customStyle="1">
    <w:name w:val="Основной текст Знак"/>
    <w:link w:val="852"/>
    <w:rPr>
      <w:sz w:val="22"/>
      <w:lang w:val="ru-RU" w:eastAsia="ru-RU" w:bidi="ar-SA"/>
    </w:rPr>
  </w:style>
  <w:style w:type="character" w:styleId="854" w:customStyle="1">
    <w:name w:val="Заголовок 3 Знак"/>
    <w:link w:val="675"/>
    <w:rPr>
      <w:sz w:val="24"/>
      <w:lang w:val="ru-RU" w:eastAsia="ru-RU" w:bidi="ar-SA"/>
    </w:rPr>
  </w:style>
  <w:style w:type="paragraph" w:styleId="855">
    <w:name w:val="Balloon Text"/>
    <w:basedOn w:val="672"/>
    <w:link w:val="868"/>
    <w:semiHidden/>
    <w:rPr>
      <w:rFonts w:ascii="Tahoma" w:hAnsi="Tahoma"/>
      <w:sz w:val="16"/>
      <w:szCs w:val="16"/>
      <w:lang w:val="en-US" w:eastAsia="en-US"/>
    </w:rPr>
  </w:style>
  <w:style w:type="character" w:styleId="856" w:customStyle="1">
    <w:name w:val="Заголовок №4 (3) + Интервал 3 pt"/>
    <w:rPr>
      <w:rFonts w:ascii="Times New Roman" w:hAnsi="Times New Roman" w:cs="Times New Roman"/>
      <w:b/>
      <w:bCs/>
      <w:spacing w:val="70"/>
      <w:sz w:val="27"/>
      <w:szCs w:val="27"/>
    </w:rPr>
  </w:style>
  <w:style w:type="paragraph" w:styleId="857">
    <w:name w:val="No Spacing"/>
    <w:rPr>
      <w:rFonts w:ascii="Tahoma" w:hAnsi="Tahoma" w:eastAsia="Calibri" w:cs="Tahoma"/>
      <w:color w:val="000000"/>
      <w:sz w:val="24"/>
      <w:szCs w:val="24"/>
    </w:rPr>
  </w:style>
  <w:style w:type="character" w:styleId="858" w:customStyle="1">
    <w:name w:val="st"/>
    <w:rPr>
      <w:rFonts w:cs="Times New Roman"/>
    </w:rPr>
  </w:style>
  <w:style w:type="character" w:styleId="859" w:customStyle="1">
    <w:name w:val="Знак Знак1"/>
    <w:rPr>
      <w:sz w:val="24"/>
      <w:lang w:val="ru-RU" w:eastAsia="ru-RU" w:bidi="ar-SA"/>
    </w:rPr>
  </w:style>
  <w:style w:type="paragraph" w:styleId="860" w:customStyle="1">
    <w:name w:val="ConsPlusNormal"/>
    <w:rPr>
      <w:rFonts w:ascii="Arial" w:hAnsi="Arial" w:cs="Arial"/>
    </w:rPr>
  </w:style>
  <w:style w:type="paragraph" w:styleId="861">
    <w:name w:val="Normal (Web)"/>
    <w:basedOn w:val="672"/>
    <w:unhideWhenUsed/>
    <w:pPr>
      <w:spacing w:before="100" w:beforeAutospacing="1" w:after="100" w:afterAutospacing="1"/>
    </w:pPr>
    <w:rPr>
      <w:szCs w:val="24"/>
    </w:rPr>
  </w:style>
  <w:style w:type="character" w:styleId="862" w:customStyle="1">
    <w:name w:val="Нижний колонтитул Знак"/>
    <w:link w:val="704"/>
    <w:rPr>
      <w:rFonts w:ascii="Calibri" w:hAnsi="Calibri" w:cs="Calibri"/>
      <w:sz w:val="22"/>
      <w:szCs w:val="22"/>
      <w:lang w:val="ru-RU" w:eastAsia="ru-RU" w:bidi="ar-SA"/>
    </w:rPr>
  </w:style>
  <w:style w:type="character" w:styleId="863">
    <w:name w:val="Strong"/>
    <w:qFormat/>
    <w:rPr>
      <w:b/>
      <w:bCs/>
    </w:rPr>
  </w:style>
  <w:style w:type="character" w:styleId="864">
    <w:name w:val="page number"/>
    <w:basedOn w:val="682"/>
  </w:style>
  <w:style w:type="paragraph" w:styleId="865">
    <w:name w:val="List Paragraph"/>
    <w:basedOn w:val="672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866" w:customStyle="1">
    <w:name w:val="ConsTitle"/>
    <w:pPr>
      <w:ind w:right="19772"/>
      <w:widowControl w:val="off"/>
    </w:pPr>
    <w:rPr>
      <w:rFonts w:ascii="Arial" w:hAnsi="Arial" w:cs="Arial"/>
      <w:b/>
      <w:bCs/>
    </w:rPr>
  </w:style>
  <w:style w:type="numbering" w:styleId="867" w:customStyle="1">
    <w:name w:val="Нет списка1"/>
    <w:next w:val="684"/>
    <w:semiHidden/>
    <w:unhideWhenUsed/>
  </w:style>
  <w:style w:type="character" w:styleId="868" w:customStyle="1">
    <w:name w:val="Текст выноски Знак"/>
    <w:link w:val="855"/>
    <w:semiHidden/>
    <w:rPr>
      <w:rFonts w:ascii="Tahoma" w:hAnsi="Tahoma" w:cs="Tahoma"/>
      <w:sz w:val="16"/>
      <w:szCs w:val="16"/>
    </w:rPr>
  </w:style>
  <w:style w:type="paragraph" w:styleId="869">
    <w:name w:val="Body Text Indent 2"/>
    <w:basedOn w:val="672"/>
    <w:link w:val="870"/>
    <w:pPr>
      <w:ind w:left="283"/>
      <w:spacing w:after="120" w:line="480" w:lineRule="auto"/>
    </w:pPr>
    <w:rPr>
      <w:szCs w:val="24"/>
      <w:lang w:val="en-US" w:eastAsia="en-US"/>
    </w:rPr>
  </w:style>
  <w:style w:type="character" w:styleId="870" w:customStyle="1">
    <w:name w:val="Основной текст с отступом 2 Знак"/>
    <w:link w:val="869"/>
    <w:rPr>
      <w:sz w:val="24"/>
      <w:szCs w:val="24"/>
      <w:lang w:val="en-US" w:eastAsia="en-US"/>
    </w:rPr>
  </w:style>
  <w:style w:type="character" w:styleId="871" w:customStyle="1">
    <w:name w:val="Верхний колонтитул Знак"/>
    <w:link w:val="702"/>
    <w:rPr>
      <w:sz w:val="24"/>
      <w:szCs w:val="24"/>
      <w:lang w:val="en-US" w:eastAsia="en-US"/>
    </w:rPr>
  </w:style>
  <w:style w:type="numbering" w:styleId="872" w:customStyle="1">
    <w:name w:val="Нет списка11"/>
    <w:next w:val="684"/>
    <w:semiHidden/>
    <w:unhideWhenUsed/>
  </w:style>
  <w:style w:type="paragraph" w:styleId="873" w:customStyle="1">
    <w:name w:val="Без интервала6"/>
    <w:rPr>
      <w:rFonts w:ascii="Tahoma" w:hAnsi="Tahoma" w:eastAsia="Calibri" w:cs="Tahoma"/>
      <w:color w:val="000000"/>
      <w:sz w:val="24"/>
      <w:szCs w:val="24"/>
    </w:rPr>
  </w:style>
  <w:style w:type="paragraph" w:styleId="874" w:customStyle="1">
    <w:name w:val="Без интервала10"/>
    <w:rPr>
      <w:rFonts w:ascii="Tahoma" w:hAnsi="Tahoma" w:eastAsia="Calibri" w:cs="Tahoma"/>
      <w:color w:val="000000"/>
      <w:sz w:val="24"/>
      <w:szCs w:val="24"/>
    </w:rPr>
  </w:style>
  <w:style w:type="character" w:styleId="875" w:customStyle="1">
    <w:name w:val="Заголовок 1 Знак"/>
    <w:link w:val="673"/>
    <w:rPr>
      <w:rFonts w:ascii="Calibri Light" w:hAnsi="Calibri Light" w:eastAsia="Times New Roman" w:cs="Times New Roman"/>
      <w:b/>
      <w:bCs/>
      <w:sz w:val="32"/>
      <w:szCs w:val="32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MoBIL GROUP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Orgotd3</dc:creator>
  <cp:revision>55</cp:revision>
  <dcterms:created xsi:type="dcterms:W3CDTF">2023-12-27T05:21:00Z</dcterms:created>
  <dcterms:modified xsi:type="dcterms:W3CDTF">2025-06-05T06:58:17Z</dcterms:modified>
  <cp:version>1048576</cp:version>
</cp:coreProperties>
</file>