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9"/>
        <w:jc w:val="center"/>
        <w:rPr>
          <w:b/>
          <w:bCs/>
        </w:rPr>
      </w:pPr>
      <w:r>
        <w:rPr>
          <w:b/>
          <w:bCs/>
        </w:rPr>
        <w:t xml:space="preserve">Российская Федерация</w:t>
      </w:r>
      <w:r>
        <w:rPr>
          <w:b/>
          <w:bCs/>
        </w:rPr>
      </w:r>
    </w:p>
    <w:p>
      <w:pPr>
        <w:pStyle w:val="840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Иркутская область</w:t>
      </w:r>
      <w:r>
        <w:rPr>
          <w:b/>
          <w:bCs/>
          <w:sz w:val="24"/>
        </w:rPr>
      </w:r>
      <w:r>
        <w:rPr>
          <w:b/>
          <w:bCs/>
          <w:sz w:val="24"/>
        </w:rPr>
      </w:r>
    </w:p>
    <w:p>
      <w:pPr>
        <w:pStyle w:val="838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Муниципальное образование «Тайшетский район»</w:t>
      </w:r>
      <w:r>
        <w:rPr>
          <w:b/>
          <w:bCs/>
          <w:sz w:val="24"/>
        </w:rPr>
      </w:r>
      <w:r>
        <w:rPr>
          <w:b/>
          <w:bCs/>
          <w:sz w:val="24"/>
        </w:rPr>
      </w:r>
    </w:p>
    <w:p>
      <w:pPr>
        <w:pStyle w:val="83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</w:rPr>
        <w:t xml:space="preserve">Тайшетское муниципальное образование</w:t>
      </w:r>
      <w:r>
        <w:rPr>
          <w:b/>
          <w:bCs/>
          <w:sz w:val="24"/>
        </w:rPr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</w:rPr>
        <w:t xml:space="preserve">«Тайшетское городское поселение»</w:t>
      </w:r>
      <w:r>
        <w:rPr>
          <w:b/>
          <w:bCs/>
          <w:sz w:val="24"/>
        </w:rPr>
      </w:r>
      <w:r>
        <w:rPr>
          <w:b/>
          <w:bCs/>
          <w:sz w:val="24"/>
          <w:szCs w:val="24"/>
        </w:rPr>
      </w:r>
    </w:p>
    <w:p>
      <w:pPr>
        <w:pStyle w:val="83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ТАЙШЕТСКОГО ГОРОДСКОГО ПОСЕЛЕНИЯ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38"/>
        <w:jc w:val="center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4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 О С Т А Н О В Л Е Н И Е</w:t>
      </w:r>
      <w:r>
        <w:rPr>
          <w:b/>
          <w:bCs/>
          <w:sz w:val="28"/>
          <w:szCs w:val="28"/>
        </w:rPr>
      </w:r>
    </w:p>
    <w:p>
      <w:pPr>
        <w:pStyle w:val="838"/>
        <w:jc w:val="center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sz w:val="24"/>
        </w:rPr>
        <w:t xml:space="preserve">От 06.06.</w:t>
      </w:r>
      <w:r>
        <w:rPr>
          <w:sz w:val="24"/>
        </w:rPr>
        <w:t xml:space="preserve">2025</w:t>
      </w:r>
      <w:r>
        <w:rPr>
          <w:sz w:val="24"/>
        </w:rPr>
        <w:t xml:space="preserve"> </w:t>
      </w:r>
      <w:r>
        <w:rPr>
          <w:sz w:val="24"/>
        </w:rPr>
        <w:t xml:space="preserve">г.</w:t>
        <w:tab/>
        <w:tab/>
        <w:tab/>
        <w:tab/>
      </w:r>
      <w:r>
        <w:rPr>
          <w:sz w:val="24"/>
        </w:rPr>
        <w:t xml:space="preserve">г.Тайшет </w:t>
        <w:tab/>
        <w:tab/>
        <w:tab/>
        <w:tab/>
        <w:tab/>
      </w:r>
      <w:r>
        <w:rPr>
          <w:sz w:val="24"/>
        </w:rPr>
        <w:t xml:space="preserve">№457</w:t>
      </w:r>
      <w:r>
        <w:rPr>
          <w:sz w:val="24"/>
        </w:rPr>
      </w:r>
      <w:r>
        <w:rPr>
          <w:sz w:val="24"/>
        </w:rPr>
      </w:r>
    </w:p>
    <w:p>
      <w:pPr>
        <w:pStyle w:val="838"/>
        <w:rPr>
          <w:sz w:val="16"/>
          <w:szCs w:val="16"/>
        </w:rPr>
      </w:pPr>
      <w:r>
        <w:rPr>
          <w:sz w:val="24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841"/>
        <w:ind w:right="4819" w:firstLine="0"/>
        <w:tabs>
          <w:tab w:val="left" w:pos="2670" w:leader="none"/>
        </w:tabs>
        <w:rPr>
          <w:b/>
          <w:bCs/>
        </w:rPr>
        <w:suppressLineNumbers w:val="0"/>
      </w:pPr>
      <w:r>
        <w:t xml:space="preserve">Об утверждении</w:t>
      </w:r>
      <w:r>
        <w:t xml:space="preserve"> </w:t>
      </w:r>
      <w:r>
        <w:t xml:space="preserve">изменений в проект межевания</w:t>
      </w:r>
      <w:r>
        <w:t xml:space="preserve"> территории многоквартирных жилых домов, </w:t>
      </w:r>
      <w:r>
        <w:t xml:space="preserve">расположенных по ул.Локомотивная, ул.Гагарина, </w:t>
      </w:r>
      <w:r>
        <w:t xml:space="preserve">ул.Андреева, ул.Транспортная, ул.Чернышевского, </w:t>
      </w:r>
      <w:r>
        <w:t xml:space="preserve">ул.Горького, ул.Зои Космодемьянской, ул.8 Марта, </w:t>
      </w:r>
      <w:r>
        <w:t xml:space="preserve">ул.Шевченко, ул.Терешковой, ул.Свободы, ул.Крупской,</w:t>
      </w:r>
      <w:r>
        <w:t xml:space="preserve"> </w:t>
      </w:r>
      <w:r>
        <w:t xml:space="preserve">ул.Партизанской, ул.Суворова, ул.Проездная, ул.Рабочая </w:t>
      </w:r>
      <w:r>
        <w:t xml:space="preserve">в городе Тайшете, утвержденн</w:t>
      </w:r>
      <w:r>
        <w:t xml:space="preserve">ый </w:t>
      </w:r>
      <w:r>
        <w:t xml:space="preserve">постановлением</w:t>
      </w:r>
      <w:r>
        <w:t xml:space="preserve"> </w:t>
      </w:r>
      <w:r>
        <w:t xml:space="preserve">от 14 ноября 2019 года №1106</w:t>
      </w:r>
      <w:r/>
      <w:r>
        <w:rPr>
          <w:b/>
          <w:bCs/>
        </w:rPr>
      </w:r>
    </w:p>
    <w:p>
      <w:pPr>
        <w:pStyle w:val="841"/>
        <w:tabs>
          <w:tab w:val="left" w:pos="2670" w:leader="none"/>
        </w:tabs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841"/>
        <w:ind w:firstLine="720"/>
        <w:tabs>
          <w:tab w:val="left" w:pos="2670" w:leader="none"/>
        </w:tabs>
        <w:rPr>
          <w:szCs w:val="24"/>
        </w:rPr>
        <w:suppressLineNumbers w:val="0"/>
      </w:pPr>
      <w:r>
        <w:rPr>
          <w:szCs w:val="24"/>
        </w:rPr>
      </w:r>
      <w:r>
        <w:rPr>
          <w:szCs w:val="24"/>
        </w:rPr>
      </w:r>
      <w:r>
        <w:rPr>
          <w:szCs w:val="24"/>
        </w:rPr>
        <w:t xml:space="preserve">Рассмотрев</w:t>
      </w:r>
      <w:r>
        <w:rPr>
          <w:szCs w:val="24"/>
        </w:rPr>
        <w:t xml:space="preserve"> внесение </w:t>
      </w:r>
      <w:r>
        <w:rPr>
          <w:szCs w:val="24"/>
        </w:rPr>
        <w:t xml:space="preserve">изменений в проект межевания</w:t>
      </w:r>
      <w:r>
        <w:rPr>
          <w:szCs w:val="24"/>
        </w:rPr>
        <w:t xml:space="preserve"> </w:t>
      </w:r>
      <w:r>
        <w:rPr>
          <w:szCs w:val="24"/>
        </w:rPr>
        <w:t xml:space="preserve">территории  многоквартирных жилых домов, расположенных по ул.Локомотивная, ул.Гагарина, ул.Андреева, ул.Транспортная, ул.Чернышевского, ул.Горького, ул.Зои Космодемьянской, ул.8 Марта, ул.Шевченко, ул.Терешковой, ул.Свободы, ул.Крупской,</w:t>
      </w:r>
      <w:r>
        <w:rPr>
          <w:szCs w:val="24"/>
        </w:rPr>
        <w:t xml:space="preserve"> у</w:t>
      </w:r>
      <w:r>
        <w:rPr>
          <w:szCs w:val="24"/>
        </w:rPr>
        <w:t xml:space="preserve">л.Партизанской, ул.Суворова, ул.Проездная, ул.Рабочая в городе Тайшете, утвержденн</w:t>
      </w:r>
      <w:r>
        <w:rPr>
          <w:szCs w:val="24"/>
        </w:rPr>
        <w:t xml:space="preserve">ый</w:t>
      </w:r>
      <w:r>
        <w:rPr>
          <w:szCs w:val="24"/>
        </w:rPr>
        <w:t xml:space="preserve"> постановлением</w:t>
      </w:r>
      <w:r>
        <w:rPr>
          <w:szCs w:val="24"/>
        </w:rPr>
        <w:t xml:space="preserve"> </w:t>
      </w:r>
      <w:r>
        <w:rPr>
          <w:szCs w:val="24"/>
        </w:rPr>
        <w:t xml:space="preserve">от 14 ноября 2019 года №1106</w:t>
      </w:r>
      <w:r>
        <w:rPr>
          <w:szCs w:val="24"/>
        </w:rPr>
        <w:t xml:space="preserve">, </w:t>
      </w:r>
      <w:r>
        <w:rPr>
          <w:szCs w:val="24"/>
        </w:rPr>
        <w:t xml:space="preserve">заключение о результатах проведения публичных слушаний</w:t>
      </w:r>
      <w:r>
        <w:rPr>
          <w:szCs w:val="24"/>
        </w:rPr>
        <w:t xml:space="preserve"> от </w:t>
      </w:r>
      <w:r>
        <w:rPr>
          <w:szCs w:val="24"/>
        </w:rPr>
        <w:t xml:space="preserve">02</w:t>
      </w:r>
      <w:r>
        <w:rPr>
          <w:szCs w:val="24"/>
        </w:rPr>
        <w:t xml:space="preserve"> </w:t>
      </w:r>
      <w:r>
        <w:rPr>
          <w:szCs w:val="24"/>
        </w:rPr>
        <w:t xml:space="preserve">июня</w:t>
      </w:r>
      <w:r>
        <w:rPr>
          <w:szCs w:val="24"/>
        </w:rPr>
        <w:t xml:space="preserve"> </w:t>
      </w:r>
      <w:r>
        <w:rPr>
          <w:szCs w:val="24"/>
        </w:rPr>
        <w:t xml:space="preserve">2025</w:t>
      </w:r>
      <w:r>
        <w:rPr>
          <w:szCs w:val="24"/>
        </w:rPr>
        <w:t xml:space="preserve"> г</w:t>
      </w:r>
      <w:r>
        <w:rPr>
          <w:szCs w:val="24"/>
        </w:rPr>
        <w:t xml:space="preserve">о</w:t>
      </w:r>
      <w:r>
        <w:rPr>
          <w:szCs w:val="24"/>
        </w:rPr>
        <w:t xml:space="preserve">да</w:t>
      </w:r>
      <w:r>
        <w:rPr>
          <w:szCs w:val="24"/>
        </w:rPr>
        <w:t xml:space="preserve">, </w:t>
      </w:r>
      <w:r>
        <w:rPr>
          <w:szCs w:val="24"/>
        </w:rPr>
        <w:t xml:space="preserve">руководствуясь </w:t>
      </w:r>
      <w:r>
        <w:rPr>
          <w:szCs w:val="24"/>
        </w:rPr>
        <w:t xml:space="preserve">статьей</w:t>
      </w:r>
      <w:r>
        <w:rPr>
          <w:szCs w:val="24"/>
        </w:rPr>
        <w:t xml:space="preserve"> 43 Градостроительного кодекса Российской Федерации,</w:t>
      </w:r>
      <w:r>
        <w:rPr>
          <w:szCs w:val="24"/>
        </w:rPr>
        <w:t xml:space="preserve"> </w:t>
      </w:r>
      <w:r>
        <w:rPr>
          <w:szCs w:val="24"/>
        </w:rPr>
        <w:t xml:space="preserve">статьей </w:t>
      </w:r>
      <w:r>
        <w:rPr>
          <w:szCs w:val="24"/>
        </w:rPr>
        <w:t xml:space="preserve">14 Федерального закона «Об общих принципах организации местного самоуправления в Росси</w:t>
      </w:r>
      <w:r>
        <w:rPr>
          <w:szCs w:val="24"/>
        </w:rPr>
        <w:t xml:space="preserve">й</w:t>
      </w:r>
      <w:r>
        <w:rPr>
          <w:szCs w:val="24"/>
        </w:rPr>
        <w:t xml:space="preserve">ской Федерации», </w:t>
      </w:r>
      <w:r>
        <w:rPr>
          <w:szCs w:val="24"/>
        </w:rPr>
        <w:t xml:space="preserve">статьями </w:t>
      </w:r>
      <w:r>
        <w:rPr>
          <w:szCs w:val="24"/>
        </w:rPr>
        <w:t xml:space="preserve">6, 23 Устава Тайшетского муниципального образования «Тайше</w:t>
      </w:r>
      <w:r>
        <w:rPr>
          <w:szCs w:val="24"/>
        </w:rPr>
        <w:t xml:space="preserve">т</w:t>
      </w:r>
      <w:r>
        <w:rPr>
          <w:szCs w:val="24"/>
        </w:rPr>
        <w:t xml:space="preserve">ское городское поселение», администрация Тайшетского городского пос</w:t>
      </w:r>
      <w:r>
        <w:rPr>
          <w:szCs w:val="24"/>
        </w:rPr>
        <w:t xml:space="preserve">е</w:t>
      </w:r>
      <w:r>
        <w:rPr>
          <w:szCs w:val="24"/>
        </w:rPr>
        <w:t xml:space="preserve">ления </w:t>
      </w:r>
      <w:r>
        <w:rPr>
          <w:szCs w:val="24"/>
        </w:rPr>
      </w:r>
      <w:r>
        <w:rPr>
          <w:szCs w:val="24"/>
        </w:rPr>
      </w:r>
    </w:p>
    <w:p>
      <w:pPr>
        <w:pStyle w:val="845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845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 О С Т А Н О В Л Я Е Т: </w:t>
      </w:r>
      <w:r>
        <w:rPr>
          <w:b/>
          <w:bCs/>
          <w:sz w:val="28"/>
          <w:szCs w:val="28"/>
        </w:rPr>
      </w:r>
    </w:p>
    <w:p>
      <w:pPr>
        <w:pStyle w:val="845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847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Утвердить</w:t>
      </w:r>
      <w:r>
        <w:rPr>
          <w:rFonts w:ascii="Times New Roman" w:hAnsi="Times New Roman" w:cs="Times New Roman"/>
          <w:sz w:val="24"/>
          <w:szCs w:val="24"/>
        </w:rPr>
        <w:t xml:space="preserve"> внесение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изменений в проект межевания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территории многоквартирных жилых домов, расположенных по ул.Локомотивная, ул.Гагарина, ул.Андреева, </w:t>
      </w:r>
      <w:r>
        <w:rPr>
          <w:rFonts w:ascii="Times New Roman" w:hAnsi="Times New Roman" w:cs="Times New Roman"/>
          <w:sz w:val="24"/>
          <w:szCs w:val="24"/>
        </w:rPr>
        <w:t xml:space="preserve">у</w:t>
      </w:r>
      <w:r>
        <w:rPr>
          <w:rFonts w:ascii="Times New Roman" w:hAnsi="Times New Roman" w:cs="Times New Roman"/>
          <w:sz w:val="24"/>
          <w:szCs w:val="24"/>
        </w:rPr>
        <w:t xml:space="preserve">л.Транспортная, ул.Чернышевского, ул.Горького, ул.Зои Космодемьянской, ул.8 Марта,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ул.Шевченко, ул.Терешковой, ул.Свободы, ул.Крупской,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ул.Партизанской, ул.Суворова, ул.Проездная, ул.Рабочая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городе Тайшете, утвержденн</w:t>
      </w:r>
      <w:r>
        <w:rPr>
          <w:rFonts w:ascii="Times New Roman" w:hAnsi="Times New Roman" w:cs="Times New Roman"/>
          <w:sz w:val="24"/>
          <w:szCs w:val="24"/>
        </w:rPr>
        <w:t xml:space="preserve">ый</w:t>
      </w:r>
      <w:r>
        <w:rPr>
          <w:rFonts w:ascii="Times New Roman" w:hAnsi="Times New Roman" w:cs="Times New Roman"/>
          <w:sz w:val="24"/>
          <w:szCs w:val="24"/>
        </w:rPr>
        <w:t xml:space="preserve">  постановлением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14 ноября 2019 года №1106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7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Настоящее постановление подлежит официальному опубликованию и размещению в средствах массовой информации и на официальном сайте администрации Тайшетского горо</w:t>
      </w:r>
      <w:r>
        <w:rPr>
          <w:rFonts w:ascii="Times New Roman" w:hAnsi="Times New Roman" w:cs="Times New Roman"/>
          <w:sz w:val="24"/>
          <w:szCs w:val="24"/>
        </w:rPr>
        <w:t xml:space="preserve">д</w:t>
      </w:r>
      <w:r>
        <w:rPr>
          <w:rFonts w:ascii="Times New Roman" w:hAnsi="Times New Roman" w:cs="Times New Roman"/>
          <w:sz w:val="24"/>
          <w:szCs w:val="24"/>
        </w:rPr>
        <w:t xml:space="preserve">ского поселения.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5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845"/>
        <w:rPr>
          <w:sz w:val="24"/>
          <w:szCs w:val="24"/>
        </w:rPr>
      </w:pPr>
      <w:r>
        <w:rPr>
          <w:sz w:val="24"/>
          <w:szCs w:val="24"/>
        </w:rPr>
        <w:t xml:space="preserve">Глава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Тайшетского </w:t>
      </w:r>
      <w:r>
        <w:rPr>
          <w:sz w:val="24"/>
          <w:szCs w:val="24"/>
        </w:rPr>
      </w:r>
    </w:p>
    <w:p>
      <w:pPr>
        <w:pStyle w:val="845"/>
        <w:rPr>
          <w:sz w:val="24"/>
          <w:szCs w:val="24"/>
        </w:rPr>
      </w:pPr>
      <w:r>
        <w:rPr>
          <w:sz w:val="24"/>
          <w:szCs w:val="24"/>
        </w:rPr>
        <w:t xml:space="preserve">городского  поселения</w:t>
      </w:r>
      <w:r>
        <w:rPr>
          <w:sz w:val="24"/>
          <w:szCs w:val="24"/>
        </w:rPr>
        <w:tab/>
        <w:tab/>
        <w:tab/>
        <w:tab/>
        <w:tab/>
        <w:tab/>
        <w:tab/>
      </w:r>
      <w:r>
        <w:rPr>
          <w:sz w:val="24"/>
          <w:szCs w:val="24"/>
        </w:rPr>
        <w:t xml:space="preserve">Р.О. Леоненко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45"/>
        <w:rPr>
          <w:sz w:val="16"/>
          <w:szCs w:val="16"/>
        </w:rPr>
      </w:pPr>
      <w:r>
        <w:rPr>
          <w:sz w:val="16"/>
          <w:szCs w:val="16"/>
          <w:highlight w:val="none"/>
        </w:rPr>
      </w:r>
      <w:r>
        <w:rPr>
          <w:sz w:val="16"/>
          <w:szCs w:val="16"/>
          <w:highlight w:val="none"/>
        </w:rPr>
      </w:r>
    </w:p>
    <w:p>
      <w:pPr>
        <w:pStyle w:val="845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И</w:t>
      </w:r>
      <w:r>
        <w:rPr>
          <w:sz w:val="24"/>
          <w:szCs w:val="24"/>
        </w:rPr>
        <w:t xml:space="preserve">сп.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Гончарова Н.А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  <w:highlight w:val="none"/>
        </w:rPr>
      </w:r>
    </w:p>
    <w:p>
      <w:pPr>
        <w:pStyle w:val="845"/>
        <w:rPr>
          <w:sz w:val="24"/>
          <w:szCs w:val="24"/>
        </w:rPr>
      </w:pPr>
      <w:r>
        <w:rPr>
          <w:sz w:val="24"/>
          <w:szCs w:val="24"/>
        </w:rPr>
        <w:t xml:space="preserve">тел. 2-20-39</w:t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0" w:hanging="360"/>
        <w:tabs>
          <w:tab w:val="num" w:pos="1200" w:leader="none"/>
        </w:tabs>
      </w:pPr>
    </w:lvl>
    <w:lvl w:ilvl="1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2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3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4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5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6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7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  <w:lvl w:ilvl="8">
      <w:start w:val="0"/>
      <w:numFmt w:val="decimal"/>
      <w:isLgl w:val="false"/>
      <w:suff w:val="tab"/>
      <w:lvlText w:val=""/>
      <w:lvlJc w:val="left"/>
      <w:pPr>
        <w:tabs>
          <w:tab w:val="num" w:pos="36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40" w:hanging="360"/>
        <w:tabs>
          <w:tab w:val="num" w:pos="84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60" w:hanging="360"/>
        <w:tabs>
          <w:tab w:val="num" w:pos="156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280" w:hanging="180"/>
        <w:tabs>
          <w:tab w:val="num" w:pos="228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00" w:hanging="360"/>
        <w:tabs>
          <w:tab w:val="num" w:pos="300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20" w:hanging="360"/>
        <w:tabs>
          <w:tab w:val="num" w:pos="372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40" w:hanging="180"/>
        <w:tabs>
          <w:tab w:val="num" w:pos="444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60" w:hanging="360"/>
        <w:tabs>
          <w:tab w:val="num" w:pos="516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880" w:hanging="360"/>
        <w:tabs>
          <w:tab w:val="num" w:pos="588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00" w:hanging="180"/>
        <w:tabs>
          <w:tab w:val="num" w:pos="660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45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290" w:hanging="450"/>
        <w:tabs>
          <w:tab w:val="num" w:pos="129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400" w:hanging="720"/>
        <w:tabs>
          <w:tab w:val="num" w:pos="24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240" w:hanging="720"/>
        <w:tabs>
          <w:tab w:val="num" w:pos="32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440" w:hanging="1080"/>
        <w:tabs>
          <w:tab w:val="num" w:pos="4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5280" w:hanging="1080"/>
        <w:tabs>
          <w:tab w:val="num" w:pos="52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6480" w:hanging="1440"/>
        <w:tabs>
          <w:tab w:val="num" w:pos="64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7320" w:hanging="1440"/>
        <w:tabs>
          <w:tab w:val="num" w:pos="7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8520" w:hanging="1800"/>
        <w:tabs>
          <w:tab w:val="num" w:pos="8520" w:leader="none"/>
        </w:tabs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0">
    <w:name w:val="Heading 1"/>
    <w:basedOn w:val="838"/>
    <w:next w:val="838"/>
    <w:link w:val="6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1">
    <w:name w:val="Heading 1 Char"/>
    <w:link w:val="660"/>
    <w:uiPriority w:val="9"/>
    <w:rPr>
      <w:rFonts w:ascii="Arial" w:hAnsi="Arial" w:eastAsia="Arial" w:cs="Arial"/>
      <w:sz w:val="40"/>
      <w:szCs w:val="40"/>
    </w:rPr>
  </w:style>
  <w:style w:type="paragraph" w:styleId="662">
    <w:name w:val="Heading 2"/>
    <w:basedOn w:val="838"/>
    <w:next w:val="838"/>
    <w:link w:val="6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3">
    <w:name w:val="Heading 2 Char"/>
    <w:link w:val="662"/>
    <w:uiPriority w:val="9"/>
    <w:rPr>
      <w:rFonts w:ascii="Arial" w:hAnsi="Arial" w:eastAsia="Arial" w:cs="Arial"/>
      <w:sz w:val="34"/>
    </w:rPr>
  </w:style>
  <w:style w:type="paragraph" w:styleId="664">
    <w:name w:val="Heading 3"/>
    <w:basedOn w:val="838"/>
    <w:next w:val="838"/>
    <w:link w:val="6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5">
    <w:name w:val="Heading 3 Char"/>
    <w:link w:val="664"/>
    <w:uiPriority w:val="9"/>
    <w:rPr>
      <w:rFonts w:ascii="Arial" w:hAnsi="Arial" w:eastAsia="Arial" w:cs="Arial"/>
      <w:sz w:val="30"/>
      <w:szCs w:val="30"/>
    </w:rPr>
  </w:style>
  <w:style w:type="paragraph" w:styleId="666">
    <w:name w:val="Heading 4"/>
    <w:basedOn w:val="838"/>
    <w:next w:val="838"/>
    <w:link w:val="6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7">
    <w:name w:val="Heading 4 Char"/>
    <w:link w:val="666"/>
    <w:uiPriority w:val="9"/>
    <w:rPr>
      <w:rFonts w:ascii="Arial" w:hAnsi="Arial" w:eastAsia="Arial" w:cs="Arial"/>
      <w:b/>
      <w:bCs/>
      <w:sz w:val="26"/>
      <w:szCs w:val="26"/>
    </w:rPr>
  </w:style>
  <w:style w:type="paragraph" w:styleId="668">
    <w:name w:val="Heading 5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9">
    <w:name w:val="Heading 5 Char"/>
    <w:link w:val="668"/>
    <w:uiPriority w:val="9"/>
    <w:rPr>
      <w:rFonts w:ascii="Arial" w:hAnsi="Arial" w:eastAsia="Arial" w:cs="Arial"/>
      <w:b/>
      <w:bCs/>
      <w:sz w:val="24"/>
      <w:szCs w:val="24"/>
    </w:rPr>
  </w:style>
  <w:style w:type="paragraph" w:styleId="670">
    <w:name w:val="Heading 6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1">
    <w:name w:val="Heading 6 Char"/>
    <w:link w:val="670"/>
    <w:uiPriority w:val="9"/>
    <w:rPr>
      <w:rFonts w:ascii="Arial" w:hAnsi="Arial" w:eastAsia="Arial" w:cs="Arial"/>
      <w:b/>
      <w:bCs/>
      <w:sz w:val="22"/>
      <w:szCs w:val="22"/>
    </w:rPr>
  </w:style>
  <w:style w:type="paragraph" w:styleId="672">
    <w:name w:val="Heading 7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3">
    <w:name w:val="Heading 7 Char"/>
    <w:link w:val="6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4">
    <w:name w:val="Heading 8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5">
    <w:name w:val="Heading 8 Char"/>
    <w:link w:val="674"/>
    <w:uiPriority w:val="9"/>
    <w:rPr>
      <w:rFonts w:ascii="Arial" w:hAnsi="Arial" w:eastAsia="Arial" w:cs="Arial"/>
      <w:i/>
      <w:iCs/>
      <w:sz w:val="22"/>
      <w:szCs w:val="22"/>
    </w:rPr>
  </w:style>
  <w:style w:type="paragraph" w:styleId="676">
    <w:name w:val="Heading 9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7">
    <w:name w:val="Heading 9 Char"/>
    <w:link w:val="676"/>
    <w:uiPriority w:val="9"/>
    <w:rPr>
      <w:rFonts w:ascii="Arial" w:hAnsi="Arial" w:eastAsia="Arial" w:cs="Arial"/>
      <w:i/>
      <w:iCs/>
      <w:sz w:val="21"/>
      <w:szCs w:val="21"/>
    </w:rPr>
  </w:style>
  <w:style w:type="paragraph" w:styleId="678">
    <w:name w:val="List Paragraph"/>
    <w:basedOn w:val="838"/>
    <w:uiPriority w:val="34"/>
    <w:qFormat/>
    <w:pPr>
      <w:contextualSpacing/>
      <w:ind w:left="720"/>
    </w:pPr>
  </w:style>
  <w:style w:type="paragraph" w:styleId="679">
    <w:name w:val="No Spacing"/>
    <w:uiPriority w:val="1"/>
    <w:qFormat/>
    <w:pPr>
      <w:spacing w:before="0" w:after="0" w:line="240" w:lineRule="auto"/>
    </w:pPr>
  </w:style>
  <w:style w:type="paragraph" w:styleId="680">
    <w:name w:val="Title"/>
    <w:basedOn w:val="838"/>
    <w:next w:val="838"/>
    <w:link w:val="68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1">
    <w:name w:val="Title Char"/>
    <w:link w:val="680"/>
    <w:uiPriority w:val="10"/>
    <w:rPr>
      <w:sz w:val="48"/>
      <w:szCs w:val="48"/>
    </w:rPr>
  </w:style>
  <w:style w:type="paragraph" w:styleId="682">
    <w:name w:val="Subtitle"/>
    <w:basedOn w:val="838"/>
    <w:next w:val="838"/>
    <w:link w:val="683"/>
    <w:uiPriority w:val="11"/>
    <w:qFormat/>
    <w:pPr>
      <w:spacing w:before="200" w:after="200"/>
    </w:pPr>
    <w:rPr>
      <w:sz w:val="24"/>
      <w:szCs w:val="24"/>
    </w:rPr>
  </w:style>
  <w:style w:type="character" w:styleId="683">
    <w:name w:val="Subtitle Char"/>
    <w:link w:val="682"/>
    <w:uiPriority w:val="11"/>
    <w:rPr>
      <w:sz w:val="24"/>
      <w:szCs w:val="24"/>
    </w:rPr>
  </w:style>
  <w:style w:type="paragraph" w:styleId="684">
    <w:name w:val="Quote"/>
    <w:basedOn w:val="838"/>
    <w:next w:val="838"/>
    <w:link w:val="685"/>
    <w:uiPriority w:val="29"/>
    <w:qFormat/>
    <w:pPr>
      <w:ind w:left="720" w:right="720"/>
    </w:pPr>
    <w:rPr>
      <w:i/>
    </w:rPr>
  </w:style>
  <w:style w:type="character" w:styleId="685">
    <w:name w:val="Quote Char"/>
    <w:link w:val="684"/>
    <w:uiPriority w:val="29"/>
    <w:rPr>
      <w:i/>
    </w:rPr>
  </w:style>
  <w:style w:type="paragraph" w:styleId="686">
    <w:name w:val="Intense Quote"/>
    <w:basedOn w:val="838"/>
    <w:next w:val="838"/>
    <w:link w:val="68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7">
    <w:name w:val="Intense Quote Char"/>
    <w:link w:val="686"/>
    <w:uiPriority w:val="30"/>
    <w:rPr>
      <w:i/>
    </w:rPr>
  </w:style>
  <w:style w:type="paragraph" w:styleId="688">
    <w:name w:val="Header"/>
    <w:basedOn w:val="838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Header Char"/>
    <w:link w:val="688"/>
    <w:uiPriority w:val="99"/>
  </w:style>
  <w:style w:type="paragraph" w:styleId="690">
    <w:name w:val="Footer"/>
    <w:basedOn w:val="838"/>
    <w:link w:val="69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Footer Char"/>
    <w:link w:val="690"/>
    <w:uiPriority w:val="99"/>
  </w:style>
  <w:style w:type="paragraph" w:styleId="692">
    <w:name w:val="Caption"/>
    <w:basedOn w:val="838"/>
    <w:next w:val="83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3">
    <w:name w:val="Caption Char"/>
    <w:basedOn w:val="692"/>
    <w:link w:val="690"/>
    <w:uiPriority w:val="99"/>
  </w:style>
  <w:style w:type="table" w:styleId="69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0">
    <w:name w:val="Hyperlink"/>
    <w:uiPriority w:val="99"/>
    <w:unhideWhenUsed/>
    <w:rPr>
      <w:color w:val="0000ff" w:themeColor="hyperlink"/>
      <w:u w:val="single"/>
    </w:r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next w:val="838"/>
    <w:link w:val="838"/>
    <w:qFormat/>
    <w:rPr>
      <w:lang w:val="ru-RU" w:eastAsia="ru-RU" w:bidi="ar-SA"/>
    </w:rPr>
  </w:style>
  <w:style w:type="paragraph" w:styleId="839">
    <w:name w:val="Заголовок 1"/>
    <w:basedOn w:val="838"/>
    <w:next w:val="838"/>
    <w:link w:val="838"/>
    <w:qFormat/>
    <w:pPr>
      <w:keepNext/>
      <w:outlineLvl w:val="0"/>
    </w:pPr>
    <w:rPr>
      <w:sz w:val="24"/>
    </w:rPr>
  </w:style>
  <w:style w:type="paragraph" w:styleId="840">
    <w:name w:val="Заголовок 2"/>
    <w:basedOn w:val="838"/>
    <w:next w:val="838"/>
    <w:link w:val="838"/>
    <w:qFormat/>
    <w:pPr>
      <w:keepNext/>
      <w:outlineLvl w:val="1"/>
    </w:pPr>
    <w:rPr>
      <w:sz w:val="28"/>
    </w:rPr>
  </w:style>
  <w:style w:type="paragraph" w:styleId="841">
    <w:name w:val="Заголовок 3"/>
    <w:basedOn w:val="838"/>
    <w:next w:val="838"/>
    <w:link w:val="838"/>
    <w:qFormat/>
    <w:pPr>
      <w:jc w:val="both"/>
      <w:keepNext/>
      <w:outlineLvl w:val="2"/>
    </w:pPr>
    <w:rPr>
      <w:sz w:val="24"/>
    </w:rPr>
  </w:style>
  <w:style w:type="character" w:styleId="842">
    <w:name w:val="Основной шрифт абзаца"/>
    <w:next w:val="842"/>
    <w:link w:val="838"/>
    <w:semiHidden/>
  </w:style>
  <w:style w:type="table" w:styleId="843">
    <w:name w:val="Обычная таблица"/>
    <w:next w:val="843"/>
    <w:link w:val="838"/>
    <w:semiHidden/>
    <w:tblPr/>
  </w:style>
  <w:style w:type="numbering" w:styleId="844">
    <w:name w:val="Нет списка"/>
    <w:next w:val="844"/>
    <w:link w:val="838"/>
    <w:semiHidden/>
  </w:style>
  <w:style w:type="paragraph" w:styleId="845">
    <w:name w:val="Основной текст"/>
    <w:basedOn w:val="838"/>
    <w:next w:val="845"/>
    <w:link w:val="838"/>
    <w:rPr>
      <w:sz w:val="24"/>
    </w:rPr>
  </w:style>
  <w:style w:type="paragraph" w:styleId="846">
    <w:name w:val="Текст выноски"/>
    <w:basedOn w:val="838"/>
    <w:next w:val="846"/>
    <w:link w:val="838"/>
    <w:semiHidden/>
    <w:rPr>
      <w:rFonts w:ascii="Tahoma" w:hAnsi="Tahoma" w:cs="Tahoma"/>
      <w:sz w:val="16"/>
      <w:szCs w:val="16"/>
    </w:rPr>
  </w:style>
  <w:style w:type="paragraph" w:styleId="847">
    <w:name w:val="ConsPlusNormal"/>
    <w:next w:val="847"/>
    <w:link w:val="838"/>
    <w:rPr>
      <w:rFonts w:ascii="Arial" w:hAnsi="Arial" w:cs="Arial"/>
      <w:lang w:val="ru-RU" w:eastAsia="ru-RU" w:bidi="ar-SA"/>
    </w:rPr>
  </w:style>
  <w:style w:type="paragraph" w:styleId="848">
    <w:name w:val="ConsPlusTitle"/>
    <w:next w:val="848"/>
    <w:link w:val="838"/>
    <w:rPr>
      <w:rFonts w:ascii="Arial" w:hAnsi="Arial" w:cs="Arial"/>
      <w:b/>
      <w:bCs/>
      <w:lang w:val="ru-RU" w:eastAsia="ru-RU" w:bidi="ar-SA"/>
    </w:rPr>
  </w:style>
  <w:style w:type="character" w:styleId="849" w:default="1">
    <w:name w:val="Default Paragraph Font"/>
    <w:uiPriority w:val="1"/>
    <w:semiHidden/>
    <w:unhideWhenUsed/>
  </w:style>
  <w:style w:type="numbering" w:styleId="850" w:default="1">
    <w:name w:val="No List"/>
    <w:uiPriority w:val="99"/>
    <w:semiHidden/>
    <w:unhideWhenUsed/>
  </w:style>
  <w:style w:type="table" w:styleId="851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111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Arhitekt1</dc:creator>
  <cp:revision>4</cp:revision>
  <dcterms:created xsi:type="dcterms:W3CDTF">2025-06-03T02:05:00Z</dcterms:created>
  <dcterms:modified xsi:type="dcterms:W3CDTF">2025-06-06T03:11:16Z</dcterms:modified>
  <cp:version>917504</cp:version>
</cp:coreProperties>
</file>