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firstLine="708"/>
        <w:jc w:val="center"/>
        <w:rPr>
          <w:rFonts w:eastAsiaTheme="minorHAnsi"/>
          <w:b/>
          <w:bCs/>
          <w:highlight w:val="none"/>
        </w:rPr>
      </w:pPr>
      <w:r>
        <w:rPr>
          <w:rFonts w:eastAsiaTheme="minorHAnsi"/>
          <w:b/>
          <w:bCs/>
          <w:lang w:eastAsia="en-US"/>
        </w:rPr>
        <w:t xml:space="preserve">ПРОЕКТ</w:t>
      </w:r>
      <w:r>
        <w:rPr>
          <w:rFonts w:eastAsiaTheme="minorHAnsi"/>
          <w:b/>
          <w:bCs/>
          <w:highlight w:val="none"/>
        </w:rPr>
      </w:r>
      <w:r>
        <w:rPr>
          <w:rFonts w:eastAsiaTheme="minorHAnsi"/>
          <w:b/>
          <w:bCs/>
          <w:highlight w:val="none"/>
        </w:rPr>
      </w:r>
    </w:p>
    <w:p>
      <w:pPr>
        <w:ind w:firstLine="708"/>
        <w:jc w:val="center"/>
        <w:rPr>
          <w:rFonts w:eastAsiaTheme="minorHAnsi"/>
          <w:highlight w:val="none"/>
          <w:lang w:eastAsia="en-US"/>
        </w:rPr>
      </w:pPr>
      <w:r>
        <w:rPr>
          <w:rFonts w:eastAsiaTheme="minorHAnsi"/>
          <w:highlight w:val="none"/>
          <w:lang w:eastAsia="en-US"/>
        </w:rPr>
        <w:t xml:space="preserve">актуализированной схемы теплоснабжения</w:t>
      </w:r>
      <w:r>
        <w:rPr>
          <w:rFonts w:eastAsiaTheme="minorHAnsi"/>
          <w:highlight w:val="none"/>
          <w:lang w:eastAsia="en-US"/>
        </w:rPr>
      </w:r>
      <w:r>
        <w:rPr>
          <w:rFonts w:eastAsiaTheme="minorHAnsi"/>
          <w:highlight w:val="none"/>
          <w:lang w:eastAsia="en-US"/>
        </w:rPr>
      </w:r>
    </w:p>
    <w:p>
      <w:pPr>
        <w:jc w:val="center"/>
        <w:widowControl w:val="off"/>
        <w:rPr>
          <w:rFonts w:eastAsiaTheme="minorHAnsi"/>
          <w:spacing w:val="-4"/>
          <w:shd w:val="clear" w:color="auto" w:fill="ffffff"/>
          <w:lang w:eastAsia="en-US"/>
        </w:rPr>
      </w:pPr>
      <w:r>
        <w:rPr>
          <w:rFonts w:eastAsiaTheme="minorHAnsi"/>
          <w:bCs/>
          <w:spacing w:val="-4"/>
          <w:shd w:val="clear" w:color="auto" w:fill="ffffff"/>
          <w:lang w:eastAsia="en-US"/>
        </w:rPr>
        <w:t xml:space="preserve">Тайшетского муниципального образования «Тайшетское городское поселение» на период 2023-2041 годы (актуализация на 2026 год)</w:t>
      </w:r>
      <w:r>
        <w:rPr>
          <w:rFonts w:eastAsiaTheme="minorHAnsi"/>
          <w:spacing w:val="-4"/>
          <w:shd w:val="clear" w:color="auto" w:fill="ffffff"/>
          <w:lang w:eastAsia="en-US"/>
        </w:rPr>
      </w:r>
      <w:r>
        <w:rPr>
          <w:rFonts w:eastAsiaTheme="minorHAnsi"/>
          <w:spacing w:val="-4"/>
          <w:shd w:val="clear" w:color="auto" w:fill="ffffff"/>
          <w:lang w:eastAsia="en-US"/>
        </w:rPr>
      </w:r>
    </w:p>
    <w:p>
      <w:pPr>
        <w:ind w:firstLine="708"/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8"/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widowControl w:val="off"/>
        <w:rPr>
          <w:rFonts w:eastAsiaTheme="minorHAnsi"/>
          <w:bCs/>
          <w:spacing w:val="-4"/>
          <w:shd w:val="clear" w:color="auto" w:fill="ffffff"/>
          <w:lang w:eastAsia="en-US"/>
        </w:rPr>
      </w:pPr>
      <w:r>
        <w:rPr>
          <w:rFonts w:eastAsiaTheme="minorHAnsi"/>
          <w:bCs/>
          <w:spacing w:val="-4"/>
          <w:shd w:val="clear" w:color="auto" w:fill="ffffff"/>
          <w:lang w:eastAsia="en-US"/>
        </w:rPr>
        <w:t xml:space="preserve">СХЕМА ТЕПЛОСНАБЖЕНИЯ</w:t>
      </w:r>
      <w:r>
        <w:rPr>
          <w:rFonts w:eastAsiaTheme="minorHAnsi"/>
          <w:bCs/>
          <w:spacing w:val="-4"/>
          <w:shd w:val="clear" w:color="auto" w:fill="ffffff"/>
          <w:lang w:eastAsia="en-US"/>
        </w:rPr>
      </w:r>
      <w:r>
        <w:rPr>
          <w:rFonts w:eastAsiaTheme="minorHAnsi"/>
          <w:bCs/>
          <w:spacing w:val="-4"/>
          <w:shd w:val="clear" w:color="auto" w:fill="ffffff"/>
          <w:lang w:eastAsia="en-US"/>
        </w:rPr>
      </w:r>
    </w:p>
    <w:p>
      <w:pPr>
        <w:jc w:val="center"/>
        <w:widowControl w:val="off"/>
        <w:rPr>
          <w:rFonts w:eastAsiaTheme="minorHAnsi"/>
          <w:bCs/>
          <w:spacing w:val="-4"/>
          <w:shd w:val="clear" w:color="auto" w:fill="ffffff"/>
          <w:lang w:eastAsia="en-US"/>
        </w:rPr>
      </w:pPr>
      <w:r>
        <w:rPr>
          <w:rFonts w:eastAsiaTheme="minorHAnsi"/>
          <w:bCs/>
          <w:spacing w:val="-4"/>
          <w:shd w:val="clear" w:color="auto" w:fill="ffffff"/>
          <w:lang w:eastAsia="en-US"/>
        </w:rPr>
        <w:t xml:space="preserve">ТАЙШЕТСКОГО МУНИЦИПАЛЬНОГО ОБРАЗОВАНИЯ «ТАЙШЕТСКОЕ ГОРОДСКОЕ ПОСЕЛЕНИЕ» НА ПЕРИОД  2023-2041 ГОДЫ</w:t>
      </w:r>
      <w:r>
        <w:rPr>
          <w:rFonts w:eastAsiaTheme="minorHAnsi"/>
          <w:bCs/>
          <w:spacing w:val="-4"/>
          <w:shd w:val="clear" w:color="auto" w:fill="ffffff"/>
          <w:lang w:eastAsia="en-US"/>
        </w:rPr>
      </w:r>
      <w:r>
        <w:rPr>
          <w:rFonts w:eastAsiaTheme="minorHAnsi"/>
          <w:bCs/>
          <w:spacing w:val="-4"/>
          <w:shd w:val="clear" w:color="auto" w:fill="ffffff"/>
          <w:lang w:eastAsia="en-US"/>
        </w:rPr>
      </w:r>
    </w:p>
    <w:p>
      <w:pPr>
        <w:jc w:val="center"/>
        <w:widowControl w:val="off"/>
        <w:rPr>
          <w:rFonts w:eastAsiaTheme="minorHAnsi"/>
          <w:bCs/>
          <w:spacing w:val="1"/>
          <w:shd w:val="clear" w:color="auto" w:fill="ffffff"/>
          <w:lang w:eastAsia="en-US"/>
        </w:rPr>
      </w:pPr>
      <w:r>
        <w:rPr>
          <w:rFonts w:eastAsiaTheme="minorHAnsi"/>
          <w:bCs/>
          <w:spacing w:val="1"/>
          <w:shd w:val="clear" w:color="auto" w:fill="ffffff"/>
          <w:lang w:eastAsia="en-US"/>
        </w:rPr>
      </w:r>
      <w:r>
        <w:rPr>
          <w:rFonts w:eastAsiaTheme="minorHAnsi"/>
          <w:bCs/>
          <w:spacing w:val="1"/>
          <w:shd w:val="clear" w:color="auto" w:fill="ffffff"/>
          <w:lang w:eastAsia="en-US"/>
        </w:rPr>
      </w:r>
      <w:r>
        <w:rPr>
          <w:rFonts w:eastAsiaTheme="minorHAnsi"/>
          <w:bCs/>
          <w:spacing w:val="1"/>
          <w:shd w:val="clear" w:color="auto" w:fill="ffffff"/>
          <w:lang w:eastAsia="en-US"/>
        </w:rPr>
      </w:r>
    </w:p>
    <w:p>
      <w:pPr>
        <w:jc w:val="center"/>
        <w:widowControl w:val="off"/>
        <w:rPr>
          <w:rFonts w:ascii="Times New Roman CYR" w:hAnsi="Times New Roman CYR" w:cs="Times New Roman CYR"/>
        </w:rPr>
      </w:pPr>
      <w:r>
        <w:rPr>
          <w:rFonts w:eastAsiaTheme="minorHAnsi"/>
          <w:bCs/>
          <w:spacing w:val="1"/>
          <w:shd w:val="clear" w:color="auto" w:fill="ffffff"/>
          <w:lang w:eastAsia="en-US"/>
        </w:rPr>
        <w:t xml:space="preserve">Книга 1</w:t>
      </w:r>
      <w:r>
        <w:rPr>
          <w:rFonts w:ascii="Times New Roman CYR" w:hAnsi="Times New Roman CYR" w:cs="Times New Roman CYR"/>
        </w:rPr>
      </w:r>
      <w:r>
        <w:rPr>
          <w:rFonts w:ascii="Times New Roman CYR" w:hAnsi="Times New Roman CYR" w:cs="Times New Roman CYR"/>
        </w:rPr>
      </w:r>
    </w:p>
    <w:p>
      <w:pPr>
        <w:jc w:val="center"/>
        <w:keepLines/>
        <w:keepNext/>
        <w:widowControl w:val="off"/>
        <w:rPr>
          <w:bCs/>
          <w:caps/>
          <w:szCs w:val="26"/>
        </w:rPr>
      </w:pPr>
      <w:r>
        <w:rPr>
          <w:bCs/>
          <w:caps/>
          <w:szCs w:val="26"/>
        </w:rPr>
        <w:t xml:space="preserve">ВВЕДЕНИЕ</w:t>
      </w:r>
      <w:r>
        <w:rPr>
          <w:bCs/>
          <w:caps/>
          <w:szCs w:val="26"/>
        </w:rPr>
      </w:r>
      <w:r>
        <w:rPr>
          <w:bCs/>
          <w:caps/>
          <w:szCs w:val="26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Схема теплоснабжения - документ, содержащий материалы по обоснованию эффективного и безопасного функционирования системы теплоснабжения, ее развития с учетом правового регулирования в области энергосбережения и повышения энергетической эффективности.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Конечной целью р</w:t>
      </w:r>
      <w:r>
        <w:rPr>
          <w:rFonts w:eastAsiaTheme="minorHAnsi"/>
          <w:lang w:eastAsia="en-US"/>
        </w:rPr>
        <w:t xml:space="preserve">азработки </w:t>
      </w:r>
      <w:r>
        <w:rPr>
          <w:rFonts w:eastAsia="Calibri"/>
          <w:lang w:eastAsia="en-US"/>
        </w:rPr>
        <w:t xml:space="preserve">схемы теплоснабжения является: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определение направления развития системы теплоснабжения Тайшетского городского поселения на расчетный период;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определение экономической целесообразности и экологической возможности строительства новых, расширения и реконструкции действующих теплоисточников;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снижение издержек производства, передачи и себестоимости тепловой энергии;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повышение качества предоставляемых энергоресурсов.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Схема разрабатыва</w:t>
      </w:r>
      <w:r>
        <w:rPr>
          <w:rFonts w:eastAsia="Calibri"/>
          <w:lang w:eastAsia="en-US"/>
        </w:rPr>
        <w:t xml:space="preserve">ется на основе анализа фактических тепловых нагрузок потребителей с учетом перспективного развития, оценки состояния существующих источников тепла и тепловых сетей и возможности их дальнейшего использования, рассмотрения вопросов надежности, экономичности.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Основанием для разработки схемы теплоснабжения служит Федеральный закон от 26 июля 2010 года №190-ФЗ «О теплоснабжении».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Основными нормативными документами при разработке схемы являются: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постановление Правительства Российской Федерации от 22 февраля 2012 года №154 «О требованиях к схемам теплоснабжения, порядку их разработки и утверждения» (в редакции постановления Правительства Российской Федерации от 31 мая 2022 года №997);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постановление Правительства Российской Федерации от 08 августа 2012 года №808 «Об организации теплоснабжения в Российской Федерации и о внесении изменений в некоторые акты Правительства Российской Федерации»;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методические указания по разработке схем теплоснабжения, утвержденные приказом Минэнерго России от 05 марта 2019 года №212.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Существу</w:t>
      </w:r>
      <w:r>
        <w:rPr>
          <w:rFonts w:eastAsiaTheme="minorHAnsi"/>
          <w:lang w:eastAsia="en-US"/>
        </w:rPr>
        <w:t xml:space="preserve">ющая схема теплоснабжения Тайшетского городского поселения утверждена постановлением администрации Тайшетского городского поселения от 07 марта  2023 года №160 «Об утверждении схемы теплоснабжения Тайшетского городского поселения на период 2023-2041 годы».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соответствие с постановлением Правительства Российской Федерации от 22 февраля 2012 года №154 «О требованиях к схемам теплоснабжения, порядку их разработки и утверждения», схема теплоснабжения подлежит ежегодной актуализации.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Целями выполнения актуализации схемы теплоснабжения являются: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учет предложений и замечаний, установленных по результатам экспертизы утвержденной схемы теплоснабжения и вынесенных на актуализацию;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актуализация показателей схемы по фактическим данным за период с базового года утвержденной схемы;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рассмотрение новых предложений, а также мониторинг и актуализация проектов, включенных в реестр проектов схемы теплоснабжения;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мониторинг и актуализация тарифных последствий;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актуализация границ зон деятельности утвержденных единой теплоснабжающей организации.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Актуализация схемы теплоснабжения Тайшетского городского поселения на 2024 год выполнена и утверждена постановлением администрации Тайшетского городского поселения от 01 декабря 2023 года №1093.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Актуализация схемы теплоснабжения Тайшетского городского поселения на 2025 год выполнена и утверждена постановлением администрации Тайшетского городского поселения от 19 июля 2024 года №663.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center"/>
        <w:widowControl w:val="off"/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contextualSpacing/>
        <w:ind w:firstLine="709"/>
        <w:jc w:val="center"/>
        <w:keepLines/>
        <w:keepNext/>
        <w:widowControl w:val="off"/>
        <w:rPr>
          <w:bCs/>
          <w:caps/>
          <w:szCs w:val="26"/>
        </w:rPr>
      </w:pPr>
      <w:r/>
      <w:bookmarkStart w:id="0" w:name="_Toc149054957"/>
      <w:r>
        <w:rPr>
          <w:bCs/>
          <w:caps/>
          <w:szCs w:val="26"/>
        </w:rPr>
        <w:t xml:space="preserve">РАЗДЕЛ 1. ПОКАЗАТЕЛИ СУЩЕСТВУЮЩЕГО И ПЕРСПЕКТИВНОГО СПРОСА НА ТЕПЛОВУЮ ЭНЕРГИЮ (МОЩНОСТЬ) И ТЕПЛОНОСИТЕЛЬ В УСТАНОВЛЕННЫХ ГРАНИЦАХ ТЕРРИТОРИИ ТАЙШЕТСКОГО Муниципального образования «ТАЙШЕТСКОЕ ГОРОДСКОЕ ПОСЕЛЕНИЕ»</w:t>
      </w:r>
      <w:bookmarkEnd w:id="0"/>
      <w:r>
        <w:rPr>
          <w:bCs/>
          <w:caps/>
          <w:szCs w:val="26"/>
        </w:rPr>
      </w:r>
      <w:r>
        <w:rPr>
          <w:bCs/>
          <w:caps/>
          <w:szCs w:val="26"/>
        </w:rPr>
      </w:r>
    </w:p>
    <w:p>
      <w:pPr>
        <w:ind w:firstLine="709"/>
        <w:jc w:val="both"/>
        <w:keepLines/>
        <w:keepNext/>
        <w:widowControl w:val="off"/>
        <w:rPr>
          <w:bCs/>
        </w:rPr>
      </w:pPr>
      <w:r/>
      <w:bookmarkStart w:id="1" w:name="_Toc149054958"/>
      <w:r>
        <w:rPr>
          <w:bCs/>
        </w:rPr>
      </w:r>
      <w:r>
        <w:rPr>
          <w:bCs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>
        <w:rPr>
          <w:bCs/>
        </w:rPr>
        <w:t xml:space="preserve">1.1. </w:t>
      </w:r>
      <w:r>
        <w:rPr>
          <w:bCs/>
          <w:shd w:val="clear" w:color="auto" w:fill="ffffff"/>
        </w:rPr>
        <w:t xml:space="preserve">Величины существующей отапливаемой площади строительных фондов и приросты отапливаемой площади строительных фондов по расчетным элементам территориально</w:t>
      </w:r>
      <w:r>
        <w:rPr>
          <w:bCs/>
          <w:shd w:val="clear" w:color="auto" w:fill="ffffff"/>
        </w:rPr>
        <w:t xml:space="preserve">го деления с разделением объектов строительства на многоквартирные дома, индивидуальные жилые дома, общественные здания и производственные здания промышленных предприятий по этапам - на каждый год первого 5-летнего периода и на последующие 5-летние периоды</w:t>
      </w:r>
      <w:bookmarkEnd w:id="1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Перспекти</w:t>
      </w:r>
      <w:r>
        <w:rPr>
          <w:rFonts w:eastAsia="Calibri"/>
          <w:lang w:eastAsia="en-US"/>
        </w:rPr>
        <w:t xml:space="preserve">вный спрос на тепловую мощность и тепловую энергию для теплоснабжения включает в себя потребности всех объектов капитального строительства в тепловой мощности и тепловой энергии на цели отопления, вентиляции, горячего водоснабжения и технологические нужды.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На территории Тайшетского городского поселения тепловая мощность и тепловая энергия используются на отопление и горячее водоснабжение. Вентиляция, потребление тепловой энергии на технологические нужды отсутствуют.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Единственным используемым видом теплоносителя является вода, теплоноситель в виде водяного пара не используется.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</w:pPr>
      <w:r>
        <w:rPr>
          <w:rFonts w:eastAsia="Calibri"/>
          <w:lang w:eastAsia="en-US"/>
        </w:rPr>
        <w:t xml:space="preserve">Тайшетское городское поселение включает в свой состав 1 населенный пункт: город Тайшет</w:t>
      </w:r>
      <w:r>
        <w:t xml:space="preserve">. Административным центром Тайшетского городского поселения является город Тайшет.</w:t>
      </w:r>
      <w:r/>
    </w:p>
    <w:p>
      <w:pPr>
        <w:ind w:firstLine="709"/>
        <w:jc w:val="both"/>
        <w:rPr>
          <w:spacing w:val="1"/>
          <w:shd w:val="clear" w:color="auto" w:fill="ffffff"/>
        </w:rPr>
      </w:pPr>
      <w:r>
        <w:rPr>
          <w:rFonts w:eastAsia="Calibri"/>
          <w:lang w:eastAsia="en-US"/>
        </w:rPr>
        <w:t xml:space="preserve">Производство, передачу и распределение тепловой энергии в Тайшетском городском поселении осуществляют 5 муниципальных котельных, находящихся по концессионному соглашению и договору безвозмездного пользования в эксплуатации АО «Байкалэнерго»</w:t>
      </w:r>
      <w:r>
        <w:rPr>
          <w:spacing w:val="1"/>
          <w:shd w:val="clear" w:color="auto" w:fill="ffffff"/>
        </w:rPr>
        <w:t xml:space="preserve">: котельная №1 (ТКСИ), котельная №2 (ШПЗ), котельная №3 (Мелькомбинат), котельная №4 (Экспедиция №5), котельная №5 (Совхоз).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Теплоснабжение северо-западного района города осуществляется от ведомственной электрокотельной </w:t>
      </w:r>
      <w:r>
        <w:rPr>
          <w:shd w:val="clear" w:color="auto" w:fill="ffffff"/>
        </w:rPr>
        <w:t xml:space="preserve">Тайшетского </w:t>
      </w:r>
      <w:r>
        <w:rPr>
          <w:rFonts w:eastAsiaTheme="minorHAnsi"/>
          <w:lang w:eastAsia="en-US"/>
        </w:rPr>
        <w:t xml:space="preserve">территориального</w:t>
      </w:r>
      <w:r>
        <w:rPr>
          <w:shd w:val="clear" w:color="auto" w:fill="ffffff"/>
        </w:rPr>
        <w:t xml:space="preserve"> участка Восточно-Сибирской дирекции по тепловодоснабжению филиала ОАО «РЖД» (далее – </w:t>
      </w:r>
      <w:r>
        <w:t xml:space="preserve">ДТВ ОАО «РЖД»), </w:t>
      </w:r>
      <w:r>
        <w:rPr>
          <w:rFonts w:eastAsia="Calibri"/>
          <w:lang w:eastAsia="en-US"/>
        </w:rPr>
        <w:t xml:space="preserve">объекты по улице Энергетиков – ведомственной электрокотельной </w:t>
      </w:r>
      <w:r>
        <w:rPr>
          <w:shd w:val="clear" w:color="auto" w:fill="ffffff"/>
        </w:rPr>
        <w:t xml:space="preserve">филиала ОАО ИЭСК «Западные электрические сети» (далее – ПС-500)</w:t>
      </w:r>
      <w:r>
        <w:rPr>
          <w:rFonts w:eastAsia="Calibri"/>
          <w:lang w:eastAsia="en-US"/>
        </w:rPr>
        <w:t xml:space="preserve">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Теплоснабжение индивидуального жилищного сектора осуществляется за счет печного отопления (дрова, уголь, электроэнергия).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="Calibri"/>
          <w:lang w:eastAsia="en-US"/>
        </w:rPr>
        <w:t xml:space="preserve">Детальный перечень потребителей тепловой энергии Тайшетского городского поселения </w:t>
      </w:r>
      <w:r>
        <w:rPr>
          <w:rFonts w:eastAsia="Calibri"/>
          <w:lang w:eastAsia="en-US"/>
        </w:rPr>
        <w:t xml:space="preserve">от муниципальных котельных Тайшетского городского поселения по состоянию </w:t>
      </w:r>
      <w:r>
        <w:rPr>
          <w:rFonts w:eastAsia="Calibri"/>
          <w:shd w:val="clear" w:color="auto" w:fill="ffffff" w:themeFill="background1"/>
          <w:lang w:eastAsia="en-US"/>
        </w:rPr>
        <w:t xml:space="preserve">на </w:t>
      </w:r>
      <w:r>
        <w:rPr>
          <w:rFonts w:eastAsia="Calibri"/>
          <w:shd w:val="clear" w:color="auto" w:fill="ffffff" w:themeFill="background1"/>
          <w:lang w:eastAsia="en-US"/>
        </w:rPr>
        <w:t xml:space="preserve">отчетный (базовый) 202</w:t>
      </w:r>
      <w:r>
        <w:rPr>
          <w:rFonts w:eastAsia="Calibri"/>
          <w:shd w:val="clear" w:color="auto" w:fill="ffffff" w:themeFill="background1"/>
          <w:lang w:eastAsia="en-US"/>
        </w:rPr>
        <w:t xml:space="preserve">4</w:t>
      </w:r>
      <w:r>
        <w:rPr>
          <w:rFonts w:eastAsia="Calibri"/>
          <w:shd w:val="clear" w:color="auto" w:fill="ffffff" w:themeFill="background1"/>
          <w:lang w:eastAsia="en-US"/>
        </w:rPr>
        <w:t xml:space="preserve"> год</w:t>
      </w:r>
      <w:r>
        <w:rPr>
          <w:rFonts w:eastAsia="Calibr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приведен в Таблице 17 части 4 Главы 1 Обосновывающих материалов.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В соответствии с Генеральным планом Тайшетского муниципального образования «Тайшетское городское поселение»</w:t>
      </w:r>
      <w:r>
        <w:rPr>
          <w:rFonts w:eastAsia="Calibri"/>
          <w:lang w:eastAsia="en-US"/>
        </w:rPr>
        <w:t xml:space="preserve">, площадь жилищного фонда в городе Тайшете до 2041 года будет возрастать за счет нового строительства на территории муниципального образования индивидуальных жилых домов, коммерческого жилищного строительства и строительства ведомственного жилищного фонда.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widowControl w:val="off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Планируется строительство и подключение новых абонентов к тепловым сетям муниципальных котельных. Данные об абонентах и планируемых к строительству объектах указаны в Таблице 1.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Таблица 1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center"/>
        <w:widowControl w:val="off"/>
        <w:rPr>
          <w:rFonts w:eastAsia="Calibri"/>
          <w:highlight w:val="yellow"/>
          <w:lang w:eastAsia="en-US"/>
        </w:rPr>
      </w:pPr>
      <w:r>
        <w:rPr>
          <w:rFonts w:eastAsia="Calibri"/>
          <w:highlight w:val="yellow"/>
          <w:lang w:eastAsia="en-US"/>
        </w:rPr>
      </w:r>
      <w:r>
        <w:rPr>
          <w:rFonts w:eastAsia="Calibri"/>
          <w:highlight w:val="yellow"/>
          <w:lang w:eastAsia="en-US"/>
        </w:rPr>
      </w:r>
      <w:r>
        <w:rPr>
          <w:rFonts w:eastAsia="Calibri"/>
          <w:highlight w:val="yellow"/>
          <w:lang w:eastAsia="en-US"/>
        </w:rPr>
      </w:r>
    </w:p>
    <w:p>
      <w:pPr>
        <w:ind w:firstLine="709"/>
        <w:jc w:val="center"/>
        <w:widowControl w:val="off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Планируемые к строительству объекты 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tbl>
      <w:tblPr>
        <w:tblW w:w="4889" w:type="pct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4563"/>
        <w:gridCol w:w="4795"/>
      </w:tblGrid>
      <w:tr>
        <w:tblPrEx/>
        <w:trPr>
          <w:trHeight w:val="20"/>
        </w:trPr>
        <w:tc>
          <w:tcPr>
            <w:gridSpan w:val="2"/>
            <w:tcW w:w="5000" w:type="pct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Источники тепловой энергии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tcW w:w="2438" w:type="pct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Котельная №1 (ТКСИ)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tcW w:w="2562" w:type="pct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Котельная №2 (ШПЗ)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699"/>
        </w:trPr>
        <w:tc>
          <w:tcPr>
            <w:tcW w:w="2438" w:type="pct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 Детское дошкольное учреждение в микрорайоне Центральном, ввод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2026-2027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года (индивидуальный источник тепловой энергии) – 0,9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552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Гкал/ч; 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Средняя образовательная школа на 1275 мест по улице Горького, 21, ввод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2026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года – 3,698 Гкал/ч (технические условия действующие); 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Крытый каток с искусственным льдом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, ввод в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2028 год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у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–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0,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6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5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4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Гкал/ч;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contextualSpacing/>
              <w:jc w:val="both"/>
              <w:widowControl w:val="off"/>
              <w:rPr>
                <w:rFonts w:eastAsiaTheme="minorEastAsia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Здание отдела внутренних дел, ввод в 2027-2028 годах – 0,954 Гкал/ч;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Многоквартирные жилые дома ООО «Развитие», ввод в 202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6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-2031 годах – 7,18 Гкал/ч;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contextualSpacing/>
              <w:jc w:val="both"/>
              <w:widowControl w:val="off"/>
              <w:rPr>
                <w:rFonts w:eastAsiaTheme="minorEastAsia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Многоквартирные жилые дома м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икрорайон РУСАЛ квартал </w:t>
            </w:r>
            <w:r>
              <w:rPr>
                <w:sz w:val="22"/>
                <w:szCs w:val="22"/>
              </w:rPr>
              <w:t xml:space="preserve">(1 этап –ввод в 2027 году – </w:t>
            </w:r>
            <w:r>
              <w:rPr>
                <w:sz w:val="22"/>
                <w:szCs w:val="22"/>
              </w:rPr>
              <w:t xml:space="preserve">3,145</w:t>
            </w:r>
            <w:r>
              <w:rPr>
                <w:sz w:val="22"/>
                <w:szCs w:val="22"/>
              </w:rPr>
              <w:t xml:space="preserve"> Гкал/ч. 2 этап –ввод в 2028 году – 6,864 Гкал/ч.)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2562" w:type="pct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Здание спортивного зала частного образовательного учреждения «РЖД лицей № 12» улица Крупской, 97, ввод в IV квартале 2026 года – 0,210 Гкал/ч (технические условия действующие); 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Магазин Агабекян К.Н. улица Суворова, 3а, ввод в 2025 году – 0,0204 Гкал/ч (технические условия действующие);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Объект капитального строительства Баянов Д.В, улица Суворова, 12, ввод в 202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6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году - 0,275 Гкал/ч (технические условия действующие);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Многоквартирный дом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ООО «Специализированный застройщик «Главстрой», улица Зои Космодемьянской, 4, ввод в 202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6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году – 0,344 Гкал/ч (технические условия действующие);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Многоквартирный дом, Герасимова Е.П., улица Суворова, 2, </w:t>
            </w:r>
            <w:r>
              <w:rPr>
                <w:sz w:val="22"/>
                <w:szCs w:val="22"/>
              </w:rPr>
              <w:t xml:space="preserve">(2 этап – 1 дом, ввод в 2026-2027 году – 0,1</w:t>
            </w:r>
            <w:r>
              <w:rPr>
                <w:sz w:val="22"/>
                <w:szCs w:val="22"/>
              </w:rPr>
              <w:t xml:space="preserve">8</w:t>
            </w:r>
            <w:r>
              <w:rPr>
                <w:sz w:val="22"/>
                <w:szCs w:val="22"/>
              </w:rPr>
              <w:t xml:space="preserve"> Гкал/ч.)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(технические условия действующие);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contextualSpacing/>
              <w:jc w:val="both"/>
              <w:widowControl w:val="o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Многоквартирные жилые дома взамен сносимого ветхого жилого фонда (котельная № 2), ввод в 2027-2033 годах – дополнительная нагрузка 2,78 Гкал/ч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contextualSpacing/>
              <w:jc w:val="both"/>
              <w:widowControl w:val="o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ОАО «РЖД»</w:t>
            </w:r>
            <w:r>
              <w:t xml:space="preserve"> </w:t>
            </w:r>
            <w:r>
              <w:rPr>
                <w:sz w:val="22"/>
                <w:szCs w:val="22"/>
              </w:rPr>
              <w:t xml:space="preserve">Ст. Тайшет строительство многоквартирного жилого дома </w:t>
            </w:r>
            <w:r>
              <w:rPr>
                <w:sz w:val="22"/>
                <w:szCs w:val="22"/>
              </w:rPr>
              <w:t xml:space="preserve">ввод в 2027 году – </w:t>
            </w:r>
            <w:r>
              <w:rPr>
                <w:sz w:val="22"/>
                <w:szCs w:val="22"/>
              </w:rPr>
              <w:t xml:space="preserve">0,2622 Гкал/час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tbl>
      <w:tblPr>
        <w:tblStyle w:val="925"/>
        <w:tblW w:w="0" w:type="auto"/>
        <w:tblInd w:w="108" w:type="dxa"/>
        <w:tblBorders>
          <w:top w:val="none" w:color="auto" w:sz="0" w:space="0"/>
        </w:tblBorders>
        <w:tblLook w:val="04A0" w:firstRow="1" w:lastRow="0" w:firstColumn="1" w:lastColumn="0" w:noHBand="0" w:noVBand="1"/>
      </w:tblPr>
      <w:tblGrid>
        <w:gridCol w:w="9356"/>
      </w:tblGrid>
      <w:tr>
        <w:tblPrEx/>
        <w:trPr/>
        <w:tc>
          <w:tcPr>
            <w:tcW w:w="9356" w:type="dxa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Котельная № 3 </w:t>
            </w:r>
            <w:r>
              <w:rPr>
                <w:rFonts w:ascii="Times New Roman" w:hAnsi="Times New Roman" w:cs="Times New Roman"/>
                <w:spacing w:val="1"/>
                <w:shd w:val="clear" w:color="auto" w:fill="ffffff"/>
              </w:rPr>
              <w:t xml:space="preserve">(Мелькомбинат)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9356" w:type="dxa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МКОУ СОШ № 2 (пристрой) на 520 мест, улица Пушкина, 43, ввод в 2030 году – 0,441 Гкал/ч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</w:tbl>
    <w:p>
      <w:pPr>
        <w:ind w:firstLine="709"/>
        <w:jc w:val="both"/>
        <w:widowControl w:val="off"/>
        <w:tabs>
          <w:tab w:val="left" w:pos="567" w:leader="none"/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highlight w:val="none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widowControl w:val="off"/>
        <w:tabs>
          <w:tab w:val="left" w:pos="567" w:leader="none"/>
          <w:tab w:val="left" w:pos="993" w:leader="none"/>
        </w:tabs>
        <w:rPr>
          <w:rFonts w:eastAsia="Calibri"/>
          <w:highlight w:val="none"/>
          <w:lang w:eastAsia="en-US"/>
        </w:rPr>
      </w:pPr>
      <w:r>
        <w:rPr>
          <w:rFonts w:eastAsia="Calibri"/>
          <w:lang w:eastAsia="en-US"/>
        </w:rPr>
        <w:t xml:space="preserve">Показатели существующей и приросты отапливаемой площади строительных фондов Тайшетского городского поселения по расчетным элементам территориального деления представлены в Таблице 2. </w:t>
      </w:r>
      <w:r>
        <w:rPr>
          <w:rFonts w:eastAsia="Calibri"/>
          <w:highlight w:val="none"/>
          <w:lang w:eastAsia="en-US"/>
        </w:rPr>
      </w:r>
      <w:r>
        <w:rPr>
          <w:rFonts w:eastAsia="Calibri"/>
          <w:highlight w:val="none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right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right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right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right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right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right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right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right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right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right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Таблица 2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center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Показатели существующей и приросты отапливаемой площади строительных фондов</w:t>
      </w:r>
      <w:r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tbl>
      <w:tblPr>
        <w:tblW w:w="5259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1493"/>
        <w:gridCol w:w="803"/>
        <w:gridCol w:w="691"/>
        <w:gridCol w:w="113"/>
        <w:gridCol w:w="20"/>
        <w:gridCol w:w="721"/>
        <w:gridCol w:w="129"/>
        <w:gridCol w:w="68"/>
        <w:gridCol w:w="654"/>
        <w:gridCol w:w="127"/>
        <w:gridCol w:w="725"/>
        <w:gridCol w:w="127"/>
        <w:gridCol w:w="725"/>
        <w:gridCol w:w="125"/>
        <w:gridCol w:w="852"/>
        <w:gridCol w:w="20"/>
        <w:gridCol w:w="121"/>
        <w:gridCol w:w="850"/>
        <w:gridCol w:w="22"/>
        <w:gridCol w:w="829"/>
        <w:gridCol w:w="16"/>
        <w:gridCol w:w="6"/>
        <w:gridCol w:w="829"/>
      </w:tblGrid>
      <w:tr>
        <w:tblPrEx/>
        <w:trPr>
          <w:trHeight w:val="20"/>
        </w:trPr>
        <w:tc>
          <w:tcPr>
            <w:shd w:val="clear" w:color="auto" w:fill="auto"/>
            <w:tcW w:w="742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В разрезе котельных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2"/>
            <w:shd w:val="clear" w:color="auto" w:fill="auto"/>
            <w:tcW w:w="4258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Отапливаемая площадь строительных фондов, м</w:t>
            </w:r>
            <w:r>
              <w:rPr>
                <w:bCs/>
                <w:sz w:val="22"/>
                <w:szCs w:val="22"/>
                <w:vertAlign w:val="superscript"/>
              </w:rPr>
              <w:t xml:space="preserve">2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W w:w="742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74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Существующая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0"/>
            <w:shd w:val="clear" w:color="auto" w:fill="auto"/>
            <w:tcW w:w="3516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Перспективная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613"/>
        </w:trPr>
        <w:tc>
          <w:tcPr>
            <w:tcW w:w="742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399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2021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34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2022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424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2023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2024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2025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2026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495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2027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49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2028-2033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2034-2038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41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2039-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2041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23"/>
            <w:shd w:val="clear" w:color="auto" w:fill="auto"/>
            <w:tcW w:w="500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№1 (ТКСИ) (город Тайшет, улица Индустриальная, 3/1)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74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муниципальной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399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214448,4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409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214448,4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42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231197,2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359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266675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292153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340901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495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346379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49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346379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42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346379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tcW w:w="415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346379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23"/>
            <w:shd w:val="clear" w:color="auto" w:fill="auto"/>
            <w:tcW w:w="500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2 (ШПЗ) (город Тайшет, улица Гагарина, 114)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74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муниципальной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39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303816,3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W w:w="40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303816,3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251383,5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W w:w="42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265515,5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268515,5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268515,5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268515,5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W w:w="49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268515,5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268515,5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268515,5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gridSpan w:val="23"/>
            <w:shd w:val="clear" w:color="auto" w:fill="auto"/>
            <w:tcW w:w="500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3 (Мелькомбинат) (город Тайшет, улица Кирова, 224/10)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74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муниципальной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399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22338,6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39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22338,6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4"/>
            <w:shd w:val="clear" w:color="auto" w:fill="auto"/>
            <w:tcW w:w="466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22338,6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3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22338,6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22338,6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22338,6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W w:w="49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22338,6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2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22338,6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22338,6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22338,6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gridSpan w:val="23"/>
            <w:shd w:val="clear" w:color="auto" w:fill="auto"/>
            <w:tcW w:w="500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4 (Экспедиция 5) (город Тайшет, улица Тимирязева, 90)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74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муниципальной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399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11802,4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39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11802,4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4"/>
            <w:shd w:val="clear" w:color="auto" w:fill="auto"/>
            <w:tcW w:w="466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11802,4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3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11802,4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11802,4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11802,4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W w:w="49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11802,4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2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11802,4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11802,4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11802,4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gridSpan w:val="23"/>
            <w:shd w:val="clear" w:color="auto" w:fill="auto"/>
            <w:tcW w:w="500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5 (Совхоз) (город Тайшет, улица Капустина, 22)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74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муниципальной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399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2398,6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39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2398,6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4"/>
            <w:shd w:val="clear" w:color="auto" w:fill="auto"/>
            <w:tcW w:w="466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2398,6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3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2398,6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2398,6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2398,6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W w:w="49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2398,6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2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2398,6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2398,6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2398,6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gridSpan w:val="23"/>
            <w:shd w:val="clear" w:color="auto" w:fill="auto"/>
            <w:tcW w:w="500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Электрокотельная ДТВ ОАО «РЖД» (город Тайшет)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74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39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23005,8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39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23005,8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4"/>
            <w:shd w:val="clear" w:color="auto" w:fill="auto"/>
            <w:tcW w:w="466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23005,8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3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23005,8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23005,8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23005,8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W w:w="49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23005,8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2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23005,8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23005,8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23005,8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gridSpan w:val="23"/>
            <w:shd w:val="clear" w:color="auto" w:fill="auto"/>
            <w:tcW w:w="500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Электрокотельная ПС-500 (город Тайшет)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74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39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1448,7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39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1448,7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4"/>
            <w:shd w:val="clear" w:color="auto" w:fill="auto"/>
            <w:tcW w:w="466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1448,7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3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1448,7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1448,7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1448,7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W w:w="49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1448,7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2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1448,7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1448,7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1448,7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74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муниципальному образованию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39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579258,8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39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579258,8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  <w:tc>
          <w:tcPr>
            <w:gridSpan w:val="4"/>
            <w:shd w:val="clear" w:color="auto" w:fill="auto"/>
            <w:tcW w:w="466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543574,8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3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593184,6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621662,6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670410,6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W w:w="49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675888,6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2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675888,6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675888,6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675888,6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</w:tr>
    </w:tbl>
    <w:p>
      <w:pPr>
        <w:ind w:firstLine="709"/>
        <w:jc w:val="both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highlight w:val="none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="Calibri"/>
          <w:highlight w:val="none"/>
          <w:lang w:eastAsia="en-US"/>
        </w:rPr>
      </w:pPr>
      <w:r>
        <w:rPr>
          <w:rFonts w:eastAsia="Calibri"/>
          <w:lang w:eastAsia="en-US"/>
        </w:rPr>
        <w:t xml:space="preserve">Существующая отапливаемая площадь строительных фондов Тайшетского городского поселения по </w:t>
      </w:r>
      <w:r>
        <w:rPr>
          <w:rFonts w:eastAsia="Calibri"/>
          <w:lang w:eastAsia="en-US"/>
        </w:rPr>
        <w:t xml:space="preserve">состоянию на отчетный (базовый) 2024 год составляет </w:t>
      </w:r>
      <w:r>
        <w:rPr>
          <w:rFonts w:eastAsia="Calibri"/>
          <w:bCs/>
          <w:szCs w:val="22"/>
          <w:lang w:eastAsia="en-US"/>
        </w:rPr>
        <w:t xml:space="preserve">579258,8</w:t>
      </w:r>
      <w:r>
        <w:rPr>
          <w:rFonts w:eastAsia="Calibri"/>
          <w:lang w:eastAsia="en-US"/>
        </w:rPr>
        <w:t xml:space="preserve">м</w:t>
      </w:r>
      <w:r>
        <w:rPr>
          <w:rFonts w:eastAsia="Calibri"/>
          <w:vertAlign w:val="superscript"/>
          <w:lang w:eastAsia="en-US"/>
        </w:rPr>
        <w:t xml:space="preserve">2</w:t>
      </w:r>
      <w:r>
        <w:rPr>
          <w:rFonts w:eastAsia="Calibri"/>
          <w:lang w:eastAsia="en-US"/>
        </w:rPr>
        <w:t xml:space="preserve">.</w:t>
      </w:r>
      <w:r>
        <w:rPr>
          <w:rFonts w:eastAsia="Calibri"/>
          <w:highlight w:val="none"/>
          <w:lang w:eastAsia="en-US"/>
        </w:rPr>
      </w:r>
      <w:r>
        <w:rPr>
          <w:rFonts w:eastAsia="Calibri"/>
          <w:highlight w:val="none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Приросты отапливаемой площади строительных фондов муниципального образования на перспективу до 2041 года будут происходить согласно генеральному плану Тайшетского городского поселения.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="Calibri"/>
          <w:lang w:eastAsia="en-US"/>
        </w:rPr>
        <w:t xml:space="preserve">Более подробно показатели существующей отапливаемой площади строительных фондов Тайшетского городского поселения по расчетным элементам территориального деления по состоянию на </w:t>
      </w:r>
      <w:r>
        <w:rPr>
          <w:rFonts w:eastAsia="Calibri"/>
          <w:shd w:val="clear" w:color="auto" w:fill="ffffff" w:themeFill="background1"/>
          <w:lang w:eastAsia="en-US"/>
        </w:rPr>
        <w:t xml:space="preserve">отчетный (базовый) 202</w:t>
      </w:r>
      <w:r>
        <w:rPr>
          <w:rFonts w:eastAsia="Calibri"/>
          <w:shd w:val="clear" w:color="auto" w:fill="ffffff" w:themeFill="background1"/>
          <w:lang w:eastAsia="en-US"/>
        </w:rPr>
        <w:t xml:space="preserve">4</w:t>
      </w:r>
      <w:r>
        <w:rPr>
          <w:rFonts w:eastAsia="Calibri"/>
          <w:shd w:val="clear" w:color="auto" w:fill="ffffff" w:themeFill="background1"/>
          <w:lang w:eastAsia="en-US"/>
        </w:rPr>
        <w:t xml:space="preserve"> год</w:t>
      </w:r>
      <w:r>
        <w:rPr>
          <w:rFonts w:eastAsia="Calibr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приведен в Таблице 17 части 4 главы 1 Обосновывающих материалов.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keepLines/>
        <w:keepNext/>
        <w:widowControl w:val="off"/>
        <w:rPr>
          <w:bCs/>
        </w:rPr>
      </w:pPr>
      <w:r/>
      <w:bookmarkStart w:id="2" w:name="_Toc149054959"/>
      <w:r>
        <w:rPr>
          <w:bCs/>
        </w:rPr>
        <w:t xml:space="preserve">1.2. Существующие и перспективные объемы потребления тепловой энергии (мощности) и теплоносителя с разделением по видам теплопотребления в каждом расчетном элементе территориального деления на каждом этапе</w:t>
      </w:r>
      <w:bookmarkEnd w:id="2"/>
      <w:r>
        <w:rPr>
          <w:bCs/>
        </w:rPr>
        <w:t xml:space="preserve">.</w:t>
      </w:r>
      <w:r>
        <w:rPr>
          <w:bCs/>
        </w:rPr>
      </w:r>
      <w:r>
        <w:rPr>
          <w:bCs/>
        </w:rPr>
      </w:r>
    </w:p>
    <w:p>
      <w:pPr>
        <w:ind w:firstLine="709"/>
        <w:jc w:val="both"/>
        <w:widowControl w:val="off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Системы теплоснабжения муниципальных котельных Тайшетского городского поселения по состоянию </w:t>
      </w:r>
      <w:r>
        <w:rPr>
          <w:rFonts w:eastAsia="Calibri"/>
          <w:shd w:val="clear" w:color="auto" w:fill="ffffff" w:themeFill="background1"/>
          <w:lang w:eastAsia="en-US"/>
        </w:rPr>
        <w:t xml:space="preserve">на отчетный (ба</w:t>
      </w:r>
      <w:r>
        <w:rPr>
          <w:rFonts w:eastAsia="Calibri"/>
          <w:shd w:val="clear" w:color="auto" w:fill="ffffff" w:themeFill="background1"/>
          <w:lang w:eastAsia="en-US"/>
        </w:rPr>
        <w:t xml:space="preserve">зовый) 202</w:t>
      </w:r>
      <w:r>
        <w:rPr>
          <w:rFonts w:eastAsia="Calibri"/>
          <w:shd w:val="clear" w:color="auto" w:fill="ffffff" w:themeFill="background1"/>
          <w:lang w:eastAsia="en-US"/>
        </w:rPr>
        <w:t xml:space="preserve">4</w:t>
      </w:r>
      <w:r>
        <w:rPr>
          <w:rFonts w:eastAsia="Calibri"/>
          <w:shd w:val="clear" w:color="auto" w:fill="ffffff" w:themeFill="background1"/>
          <w:lang w:eastAsia="en-US"/>
        </w:rPr>
        <w:t xml:space="preserve"> год</w:t>
      </w:r>
      <w:r>
        <w:rPr>
          <w:rFonts w:eastAsia="Calibri"/>
          <w:lang w:eastAsia="en-US"/>
        </w:rPr>
        <w:t xml:space="preserve"> являются закрытыми системами теплоснабжения, кроме тепловых сетей от котельной №1 (ТКСИ) - система открытая. Тепловая энергия, вырабатываемая котельными, используется</w:t>
      </w:r>
      <w:r>
        <w:rPr>
          <w:rFonts w:eastAsia="Calibri"/>
          <w:lang w:eastAsia="en-US"/>
        </w:rPr>
        <w:t xml:space="preserve"> на отопление и горячее водоснабжение потребителей.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Существующие и перспективные объемы потребления тепловой энергии и теплоносителя Тайшетским городским поселением с разделением по видам </w:t>
      </w:r>
      <w:r>
        <w:rPr>
          <w:rFonts w:eastAsia="Calibri"/>
          <w:lang w:eastAsia="en-US"/>
        </w:rPr>
        <w:t xml:space="preserve">теплопотребления в каждом расчетном элементе территориального деления представлены в Таблице 3.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="Calibri"/>
          <w:lang w:eastAsia="en-US"/>
        </w:rPr>
        <w:sectPr>
          <w:footerReference w:type="first" r:id="rId11"/>
          <w:footnotePr/>
          <w:endnotePr/>
          <w:type w:val="nextPage"/>
          <w:pgSz w:w="11906" w:h="16838" w:orient="portrait"/>
          <w:pgMar w:top="709" w:right="1276" w:bottom="567" w:left="1134" w:header="340" w:footer="0" w:gutter="0"/>
          <w:cols w:num="1" w:sep="0" w:space="708" w:equalWidth="1"/>
          <w:docGrid w:linePitch="360"/>
          <w:titlePg/>
        </w:sectPr>
      </w:pPr>
      <w:r>
        <w:rPr>
          <w:rFonts w:eastAsia="Calibri"/>
          <w:lang w:eastAsia="en-US"/>
        </w:rPr>
        <w:t xml:space="preserve">   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right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Таблица 3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center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Существующие и перспективные объемы потребления тепловой энергии и теплоносителя Тайшетским городским поселением с разделением по видам теплопотребления в каждом расчетном элементе территориального деления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tbl>
      <w:tblPr>
        <w:tblW w:w="4955" w:type="pct"/>
        <w:tblLayout w:type="fixed"/>
        <w:tblLook w:val="04A0" w:firstRow="1" w:lastRow="0" w:firstColumn="1" w:lastColumn="0" w:noHBand="0" w:noVBand="1"/>
      </w:tblPr>
      <w:tblGrid>
        <w:gridCol w:w="2555"/>
        <w:gridCol w:w="1127"/>
        <w:gridCol w:w="1104"/>
        <w:gridCol w:w="943"/>
        <w:gridCol w:w="103"/>
        <w:gridCol w:w="1122"/>
        <w:gridCol w:w="130"/>
        <w:gridCol w:w="1373"/>
        <w:gridCol w:w="1325"/>
        <w:gridCol w:w="30"/>
        <w:gridCol w:w="1091"/>
        <w:gridCol w:w="49"/>
        <w:gridCol w:w="1316"/>
        <w:gridCol w:w="58"/>
        <w:gridCol w:w="1313"/>
        <w:gridCol w:w="1504"/>
        <w:gridCol w:w="15"/>
      </w:tblGrid>
      <w:tr>
        <w:tblPrEx/>
        <w:trPr>
          <w:trHeight w:val="20"/>
          <w:tblHeader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Виды теплопотребления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6"/>
            <w:shd w:val="clear" w:color="auto" w:fill="auto"/>
            <w:tcBorders>
              <w:top w:val="single" w:color="auto" w:sz="8" w:space="0"/>
              <w:left w:val="none" w:color="000000" w:sz="4" w:space="0"/>
              <w:right w:val="single" w:color="000000" w:sz="8" w:space="0"/>
            </w:tcBorders>
            <w:tcW w:w="4157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Объемы потребления тепловой энергии муниципальным образованием, Гкал/час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  <w:tblHeader/>
        </w:trPr>
        <w:tc>
          <w:tcPr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Базовые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Переходные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421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Перспективные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  <w:tblHeader/>
        </w:trPr>
        <w:tc>
          <w:tcPr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2023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  <w:lang w:val="en-US"/>
              </w:rPr>
            </w:pPr>
            <w:r>
              <w:rPr>
                <w:bCs/>
                <w:sz w:val="22"/>
                <w:szCs w:val="22"/>
              </w:rPr>
              <w:t xml:space="preserve">202</w:t>
            </w:r>
            <w:r>
              <w:rPr>
                <w:bCs/>
                <w:sz w:val="22"/>
                <w:szCs w:val="22"/>
                <w:lang w:val="en-US"/>
              </w:rPr>
              <w:t xml:space="preserve">4</w:t>
            </w:r>
            <w:r>
              <w:rPr>
                <w:bCs/>
                <w:sz w:val="22"/>
                <w:szCs w:val="22"/>
                <w:lang w:val="en-US"/>
              </w:rPr>
            </w:r>
            <w:r>
              <w:rPr>
                <w:bCs/>
                <w:sz w:val="22"/>
                <w:szCs w:val="22"/>
                <w:lang w:val="en-US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</w:t>
            </w:r>
            <w:r>
              <w:rPr>
                <w:bCs/>
                <w:sz w:val="22"/>
                <w:szCs w:val="22"/>
              </w:rPr>
              <w:t xml:space="preserve">025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2026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2027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2028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2029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2030</w:t>
            </w:r>
            <w:r>
              <w:rPr>
                <w:bCs/>
                <w:sz w:val="22"/>
                <w:szCs w:val="22"/>
              </w:rPr>
              <w:t xml:space="preserve">-203</w:t>
            </w:r>
            <w:r>
              <w:rPr>
                <w:bCs/>
                <w:sz w:val="22"/>
                <w:szCs w:val="22"/>
                <w:lang w:val="en-US"/>
              </w:rPr>
              <w:t xml:space="preserve">4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</w:t>
            </w:r>
            <w:r>
              <w:rPr>
                <w:bCs/>
                <w:sz w:val="22"/>
                <w:szCs w:val="22"/>
                <w:lang w:val="en-US"/>
              </w:rPr>
              <w:t xml:space="preserve">5</w:t>
            </w:r>
            <w:r>
              <w:rPr>
                <w:bCs/>
                <w:sz w:val="22"/>
                <w:szCs w:val="22"/>
              </w:rPr>
              <w:t xml:space="preserve">-203</w:t>
            </w:r>
            <w:r>
              <w:rPr>
                <w:bCs/>
                <w:sz w:val="22"/>
                <w:szCs w:val="22"/>
                <w:lang w:val="en-US"/>
              </w:rPr>
              <w:t xml:space="preserve">9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501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</w:t>
            </w:r>
            <w:r>
              <w:rPr>
                <w:bCs/>
                <w:sz w:val="22"/>
                <w:szCs w:val="22"/>
                <w:lang w:val="en-US"/>
              </w:rPr>
              <w:t xml:space="preserve">40</w:t>
            </w:r>
            <w:r>
              <w:rPr>
                <w:bCs/>
                <w:sz w:val="22"/>
                <w:szCs w:val="22"/>
              </w:rPr>
              <w:t xml:space="preserve">-2041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7"/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tcW w:w="500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№1 (ТКСИ)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Отопление и вентиляция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19,99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22,24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26,76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28,17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29,11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41,94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41,94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41,94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50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41,94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Горячее водоснабжение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7,74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7,74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7,74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50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7,74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Технологические нужды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50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21,94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24,65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26,24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29,94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31,56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32,50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bottom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49,68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bottom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49,68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bottom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49,68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501" w:type="pct"/>
            <w:vAlign w:val="bottom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49,68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7"/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tcW w:w="500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2 (ШПЗ)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Отопление и вентиляция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31,23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31,</w:t>
            </w:r>
            <w:r>
              <w:rPr>
                <w:sz w:val="22"/>
                <w:szCs w:val="22"/>
              </w:rPr>
              <w:t xml:space="preserve">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31,53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32,24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32,</w:t>
            </w:r>
            <w:r>
              <w:rPr>
                <w:sz w:val="22"/>
                <w:szCs w:val="22"/>
              </w:rPr>
              <w:t xml:space="preserve">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32,59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35,37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35,37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35,37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50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35,37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Горячее водоснабжение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</w:t>
            </w:r>
            <w:r>
              <w:rPr>
                <w:sz w:val="22"/>
                <w:szCs w:val="22"/>
              </w:rPr>
              <w:t xml:space="preserve">19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2,19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</w:t>
            </w:r>
            <w:r>
              <w:rPr>
                <w:sz w:val="22"/>
                <w:szCs w:val="22"/>
              </w:rPr>
              <w:t xml:space="preserve">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50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Технологические нужды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50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Итого по котельной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33,39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33,70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33,72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  <w:t xml:space="preserve">4,62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34,99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35,10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37,88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37,88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37,88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50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37,88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7"/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tcW w:w="500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3 (Мелькомбинат)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Отопление и вентиляция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50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Горячее водоснабжение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50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Технологические нужды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50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50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7"/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tcW w:w="500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4 (Экспедиция 5)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Отопление и вентиляция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Горячее водоснабжение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Технологические нужды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7"/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tcW w:w="500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5 (Совхоз)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Отопление и вентиляция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Горячее водоснабжение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Технологические нужды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7"/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tcW w:w="500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Электрокотельная ДТВ ОАО «РЖД»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Отопление и вентиляция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Горячее водоснабжение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Технологические нужды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4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7"/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tcW w:w="500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Электрокотельная ПС-500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Отопление и вентиляция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4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3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8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3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Горячее водоснабжение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4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3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8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3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Технологические нужды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4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3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8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3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0,2596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0,2596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45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0,2596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0,2596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0,2596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37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0,2596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86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0,2596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0,2596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3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0,2596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0,2596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4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муниципальному образованию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66,3486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4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69,37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345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  <w:lang w:val="en-US"/>
              </w:rPr>
            </w:pPr>
            <w:r>
              <w:rPr>
                <w:bCs/>
                <w:sz w:val="22"/>
                <w:szCs w:val="22"/>
              </w:rPr>
              <w:t xml:space="preserve">70,9</w:t>
            </w:r>
            <w:r>
              <w:rPr>
                <w:bCs/>
                <w:sz w:val="22"/>
                <w:szCs w:val="22"/>
                <w:lang w:val="en-US"/>
              </w:rPr>
              <w:t xml:space="preserve">9</w:t>
            </w:r>
            <w:r>
              <w:rPr>
                <w:bCs/>
                <w:sz w:val="22"/>
                <w:szCs w:val="22"/>
                <w:lang w:val="en-US"/>
              </w:rPr>
            </w:r>
            <w:r>
              <w:rPr>
                <w:bCs/>
                <w:sz w:val="22"/>
                <w:szCs w:val="22"/>
                <w:lang w:val="en-US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  <w:lang w:val="en-US"/>
              </w:rPr>
            </w:pPr>
            <w:r>
              <w:rPr>
                <w:bCs/>
                <w:sz w:val="22"/>
                <w:szCs w:val="22"/>
              </w:rPr>
              <w:t xml:space="preserve">75,5</w:t>
            </w:r>
            <w:r>
              <w:rPr>
                <w:bCs/>
                <w:sz w:val="22"/>
                <w:szCs w:val="22"/>
                <w:lang w:val="en-US"/>
              </w:rPr>
              <w:t xml:space="preserve">9</w:t>
            </w:r>
            <w:r>
              <w:rPr>
                <w:bCs/>
                <w:sz w:val="22"/>
                <w:szCs w:val="22"/>
                <w:lang w:val="en-US"/>
              </w:rPr>
            </w:r>
            <w:r>
              <w:rPr>
                <w:bCs/>
                <w:sz w:val="22"/>
                <w:szCs w:val="22"/>
                <w:lang w:val="en-US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  <w:lang w:val="en-US"/>
              </w:rPr>
            </w:pPr>
            <w:r>
              <w:rPr>
                <w:bCs/>
                <w:sz w:val="22"/>
                <w:szCs w:val="22"/>
              </w:rPr>
              <w:t xml:space="preserve">77,5</w:t>
            </w:r>
            <w:r>
              <w:rPr>
                <w:bCs/>
                <w:sz w:val="22"/>
                <w:szCs w:val="22"/>
                <w:lang w:val="en-US"/>
              </w:rPr>
              <w:t xml:space="preserve">8</w:t>
            </w:r>
            <w:r>
              <w:rPr>
                <w:bCs/>
                <w:sz w:val="22"/>
                <w:szCs w:val="22"/>
                <w:lang w:val="en-US"/>
              </w:rPr>
            </w:r>
            <w:r>
              <w:rPr>
                <w:bCs/>
                <w:sz w:val="22"/>
                <w:szCs w:val="22"/>
                <w:lang w:val="en-US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37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  <w:lang w:val="en-US"/>
              </w:rPr>
            </w:pPr>
            <w:r>
              <w:rPr>
                <w:bCs/>
                <w:sz w:val="22"/>
                <w:szCs w:val="22"/>
              </w:rPr>
              <w:t xml:space="preserve">78,6</w:t>
            </w:r>
            <w:r>
              <w:rPr>
                <w:bCs/>
                <w:sz w:val="22"/>
                <w:szCs w:val="22"/>
                <w:lang w:val="en-US"/>
              </w:rPr>
              <w:t xml:space="preserve">3</w:t>
            </w:r>
            <w:r>
              <w:rPr>
                <w:bCs/>
                <w:sz w:val="22"/>
                <w:szCs w:val="22"/>
                <w:lang w:val="en-US"/>
              </w:rPr>
            </w:r>
            <w:r>
              <w:rPr>
                <w:bCs/>
                <w:sz w:val="22"/>
                <w:szCs w:val="22"/>
                <w:lang w:val="en-US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86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  <w:lang w:val="en-US"/>
              </w:rPr>
            </w:pPr>
            <w:r>
              <w:rPr>
                <w:bCs/>
                <w:sz w:val="22"/>
                <w:szCs w:val="22"/>
                <w:lang w:val="en-US"/>
              </w:rPr>
              <w:t xml:space="preserve">98</w:t>
            </w:r>
            <w:r>
              <w:rPr>
                <w:bCs/>
                <w:sz w:val="22"/>
                <w:szCs w:val="22"/>
              </w:rPr>
              <w:t xml:space="preserve">,</w:t>
            </w:r>
            <w:r>
              <w:rPr>
                <w:bCs/>
                <w:sz w:val="22"/>
                <w:szCs w:val="22"/>
                <w:lang w:val="en-US"/>
              </w:rPr>
              <w:t xml:space="preserve">58</w:t>
            </w:r>
            <w:r>
              <w:rPr>
                <w:bCs/>
                <w:sz w:val="22"/>
                <w:szCs w:val="22"/>
                <w:lang w:val="en-US"/>
              </w:rPr>
            </w:r>
            <w:r>
              <w:rPr>
                <w:bCs/>
                <w:sz w:val="22"/>
                <w:szCs w:val="22"/>
                <w:lang w:val="en-US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5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9</w:t>
            </w:r>
            <w:r>
              <w:rPr>
                <w:bCs/>
                <w:sz w:val="22"/>
                <w:szCs w:val="22"/>
              </w:rPr>
              <w:t xml:space="preserve">9</w:t>
            </w:r>
            <w:r>
              <w:rPr>
                <w:bCs/>
                <w:sz w:val="22"/>
                <w:szCs w:val="22"/>
              </w:rPr>
              <w:t xml:space="preserve">,</w:t>
            </w:r>
            <w:r>
              <w:rPr>
                <w:bCs/>
                <w:sz w:val="22"/>
                <w:szCs w:val="22"/>
              </w:rPr>
              <w:t xml:space="preserve">0</w:t>
            </w:r>
            <w:r>
              <w:rPr>
                <w:bCs/>
                <w:sz w:val="22"/>
                <w:szCs w:val="22"/>
              </w:rPr>
              <w:t xml:space="preserve">2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3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99,02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96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99,02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</w:tbl>
    <w:p>
      <w:pPr>
        <w:ind w:firstLine="709"/>
        <w:jc w:val="both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Существующие объемы потребления тепловой энергии Тайшетским городским поселением по состоянию на </w:t>
      </w:r>
      <w:r>
        <w:rPr>
          <w:rFonts w:eastAsia="Calibri"/>
          <w:shd w:val="clear" w:color="auto" w:fill="ffffff" w:themeFill="background1"/>
          <w:lang w:eastAsia="en-US"/>
        </w:rPr>
        <w:t xml:space="preserve">отчетный (базовый) 202</w:t>
      </w:r>
      <w:r>
        <w:rPr>
          <w:rFonts w:eastAsia="Calibri"/>
          <w:shd w:val="clear" w:color="auto" w:fill="ffffff" w:themeFill="background1"/>
          <w:lang w:eastAsia="en-US"/>
        </w:rPr>
        <w:t xml:space="preserve">4</w:t>
      </w:r>
      <w:r>
        <w:rPr>
          <w:rFonts w:eastAsia="Calibri"/>
          <w:shd w:val="clear" w:color="auto" w:fill="ffffff" w:themeFill="background1"/>
          <w:lang w:eastAsia="en-US"/>
        </w:rPr>
        <w:t xml:space="preserve"> год</w:t>
      </w:r>
      <w:r>
        <w:rPr>
          <w:rFonts w:eastAsia="Calibri"/>
          <w:lang w:eastAsia="en-US"/>
        </w:rPr>
        <w:t xml:space="preserve"> составляют </w:t>
      </w:r>
      <w:r>
        <w:rPr>
          <w:bCs/>
          <w:sz w:val="22"/>
          <w:szCs w:val="22"/>
        </w:rPr>
        <w:t xml:space="preserve">69,37</w:t>
      </w:r>
      <w:r>
        <w:rPr>
          <w:bCs/>
          <w:sz w:val="22"/>
          <w:szCs w:val="22"/>
        </w:rPr>
        <w:t xml:space="preserve"> </w:t>
      </w:r>
      <w:r>
        <w:rPr>
          <w:rFonts w:eastAsia="Calibri"/>
          <w:lang w:eastAsia="en-US"/>
        </w:rPr>
        <w:t xml:space="preserve">Гкал/час. Объем потребления тепловой энергии муниципальным образованием на перспективу до 2041 года по прогнозам составит до </w:t>
      </w:r>
      <w:r>
        <w:rPr>
          <w:rFonts w:eastAsia="Calibri"/>
          <w:lang w:eastAsia="en-US"/>
        </w:rPr>
        <w:t xml:space="preserve">9</w:t>
      </w:r>
      <w:r>
        <w:rPr>
          <w:rFonts w:eastAsia="Calibri"/>
          <w:lang w:eastAsia="en-US"/>
        </w:rPr>
        <w:t xml:space="preserve">9</w:t>
      </w:r>
      <w:r>
        <w:rPr>
          <w:rFonts w:eastAsia="Calibri"/>
          <w:lang w:eastAsia="en-US"/>
        </w:rPr>
        <w:t xml:space="preserve">,</w:t>
      </w:r>
      <w:r>
        <w:rPr>
          <w:rFonts w:eastAsia="Calibri"/>
          <w:lang w:eastAsia="en-US"/>
        </w:rPr>
        <w:t xml:space="preserve">0</w:t>
      </w:r>
      <w:r>
        <w:rPr>
          <w:rFonts w:eastAsia="Calibri"/>
          <w:lang w:eastAsia="en-US"/>
        </w:rPr>
        <w:t xml:space="preserve">2</w:t>
      </w:r>
      <w:r>
        <w:rPr>
          <w:rFonts w:eastAsia="Calibri"/>
          <w:lang w:eastAsia="en-US"/>
        </w:rPr>
        <w:t xml:space="preserve"> Гкал/час.   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="Calibri"/>
          <w:bCs/>
          <w:lang w:eastAsia="en-US"/>
        </w:rPr>
      </w:pPr>
      <w:r/>
      <w:bookmarkStart w:id="3" w:name="_Toc149054960"/>
      <w:r>
        <w:rPr>
          <w:rFonts w:eastAsia="Calibri"/>
          <w:bCs/>
          <w:lang w:eastAsia="en-US"/>
        </w:rPr>
        <w:t xml:space="preserve">1.3. Существующие и перспективные объемы потребления тепловой энергии (мощности) и теплоносителя объектами, расположенными в производственных зонах, на каждом этапе</w:t>
      </w:r>
      <w:bookmarkEnd w:id="3"/>
      <w:r>
        <w:rPr>
          <w:rFonts w:eastAsia="Calibri"/>
          <w:bCs/>
          <w:lang w:eastAsia="en-US"/>
        </w:rPr>
      </w:r>
      <w:r>
        <w:rPr>
          <w:rFonts w:eastAsia="Calibri"/>
          <w:bCs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Объекты потребления тепловой энергии (мощности) и теплоносителя от муниципальных котельных города Тайшет, расположенные в производственных зонах Тайшетского городского поселения, по состоянию на отчетный (базовый) 202</w:t>
      </w:r>
      <w:r>
        <w:rPr>
          <w:rFonts w:eastAsia="Calibri"/>
          <w:lang w:eastAsia="en-US"/>
        </w:rPr>
        <w:t xml:space="preserve">4</w:t>
      </w:r>
      <w:r>
        <w:rPr>
          <w:rFonts w:eastAsia="Calibri"/>
          <w:lang w:eastAsia="en-US"/>
        </w:rPr>
        <w:t xml:space="preserve"> год отсутст</w:t>
      </w:r>
      <w:r>
        <w:rPr>
          <w:rFonts w:eastAsia="Calibri"/>
          <w:lang w:eastAsia="en-US"/>
        </w:rPr>
        <w:t xml:space="preserve">вуют. Изменение, перепрофилирование производственных зон муниципального образования на перспективу до 2041 года не прогнозируется, соответственно, приросты потребления тепловой энергии (мощности) и теплоносителя объектами, расположенными в производственных</w:t>
      </w:r>
      <w:r>
        <w:rPr>
          <w:rFonts w:eastAsia="Calibri"/>
          <w:lang w:eastAsia="en-US"/>
        </w:rPr>
        <w:t xml:space="preserve"> зонах муниципального образования, не предусматриваются.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spacing w:before="120"/>
        <w:tabs>
          <w:tab w:val="left" w:pos="993" w:leader="none"/>
        </w:tabs>
        <w:rPr>
          <w:rFonts w:eastAsia="Calibri"/>
          <w:lang w:eastAsia="en-US"/>
        </w:rPr>
        <w:sectPr>
          <w:footnotePr/>
          <w:endnotePr/>
          <w:type w:val="nextPage"/>
          <w:pgSz w:w="16838" w:h="11906" w:orient="landscape"/>
          <w:pgMar w:top="709" w:right="851" w:bottom="851" w:left="907" w:header="340" w:footer="0" w:gutter="0"/>
          <w:cols w:num="1" w:sep="0" w:space="708" w:equalWidth="1"/>
          <w:docGrid w:linePitch="360"/>
          <w:titlePg/>
        </w:sect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contextualSpacing/>
        <w:jc w:val="center"/>
        <w:keepLines/>
        <w:keepNext/>
        <w:widowControl w:val="off"/>
        <w:rPr>
          <w:bCs/>
          <w:caps/>
          <w:szCs w:val="26"/>
        </w:rPr>
      </w:pPr>
      <w:r/>
      <w:bookmarkStart w:id="4" w:name="_Toc149054961"/>
      <w:r>
        <w:rPr>
          <w:bCs/>
          <w:caps/>
          <w:szCs w:val="26"/>
        </w:rPr>
        <w:t xml:space="preserve">РАЗДЕЛ 2. СУЩЕСТВУЮЩИЕ И ПЕРСПЕКТИВНЫЕ БАЛАНСЫ ТЕПЛОВОЙ МОЩНОСТИ ИСТОЧНИКОВ ТЕПЛОВОЙ ЭНЕРГИИ И ТЕПЛОВОЙ НАГРУЗКИ ПОТРЕБИТЕЛЕЙ</w:t>
      </w:r>
      <w:bookmarkEnd w:id="4"/>
      <w:r>
        <w:rPr>
          <w:bCs/>
          <w:caps/>
          <w:szCs w:val="26"/>
        </w:rPr>
      </w:r>
      <w:r>
        <w:rPr>
          <w:bCs/>
          <w:caps/>
          <w:szCs w:val="26"/>
        </w:rPr>
      </w:r>
    </w:p>
    <w:p>
      <w:pPr>
        <w:ind w:firstLine="709"/>
        <w:jc w:val="both"/>
        <w:keepLines/>
        <w:keepNext/>
        <w:widowControl w:val="off"/>
        <w:rPr>
          <w:bCs/>
        </w:rPr>
      </w:pPr>
      <w:r/>
      <w:bookmarkStart w:id="5" w:name="_Toc149054962"/>
      <w:r>
        <w:rPr>
          <w:bCs/>
        </w:rPr>
        <w:t xml:space="preserve">2.1. Описание существующих и перспективных зон действия систем теплоснабжения и источников тепловой энергии</w:t>
      </w:r>
      <w:bookmarkEnd w:id="5"/>
      <w:r>
        <w:rPr>
          <w:bCs/>
        </w:rPr>
      </w:r>
      <w:r>
        <w:rPr>
          <w:bCs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Теплоснабжающими организациями Тайшетского городского поселения являются ОП «Тайшетские тепловые сети» АО «Байкалэнерго» (далее – ОП «ТТС» АО «Байкалэнерго»), Тайшетский участок Восточно-Сибирской дирекции по тепловодоснабжению филиала ОАО «РЖД» (далее – </w:t>
      </w:r>
      <w:r>
        <w:t xml:space="preserve">ДТВ ОАО «РЖД»)</w:t>
      </w:r>
      <w:r>
        <w:rPr>
          <w:shd w:val="clear" w:color="auto" w:fill="ffffff"/>
        </w:rPr>
        <w:t xml:space="preserve"> и филиал ОАО ИСЭК «Западные электрические сети» (далее – ПС-500).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Производство, передачу и распределение тепловой энергии в Тайшетском городском поселении осуществляют 5 муниципальных котельных, находящихся </w:t>
      </w:r>
      <w:r>
        <w:rPr>
          <w:rFonts w:eastAsia="Calibri"/>
          <w:lang w:eastAsia="en-US"/>
        </w:rPr>
        <w:t xml:space="preserve">по концессионному соглашению и договору безвозмездного пользования</w:t>
      </w:r>
      <w:r>
        <w:rPr>
          <w:shd w:val="clear" w:color="auto" w:fill="ffffff"/>
        </w:rPr>
        <w:t xml:space="preserve"> в эксплуатации ОП «ТТС» АО «Байкалэнерго». Теплоснабжение северо-западного района города осуществляется от ведомственной электрокотельной ДТВ ОАО «РЖД», объекты по улице Энергетиков – ведомственной электрокотельной ПС-500.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Перечень существующих зон действий систем теплоснабжения и источников тепловой энергии (Рисунок 1, не приводится):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1) Котельна</w:t>
      </w:r>
      <w:r>
        <w:rPr>
          <w:shd w:val="clear" w:color="auto" w:fill="ffffff"/>
        </w:rPr>
        <w:t xml:space="preserve">я №1 (ТКСИ) является основным поставщиком тепловой энергии микрорайонов Новый, имени Пахотищева, имени Мясникова, село Старый Акульшет, микрорайон Солнечный, микрорайон Центральный, улицы Индустриальная и Архитекторов, а также части улиц в Северном районе.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2) Котельная №2 (ШПЗ) поставляет тепловую энергию потребителям, расположенным от ручья Крутенький в Центральном районе, жилой район 51 квартала в Северо-Западном районе города. С Южной стороны зона действия ограничена железной дорогой.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3) Котельная №3 (Мелькомбинат) осуществляет теплоснабжение южной части города в районе улиц Пушкина, Ленина, Воинов Интернационалистов, Комсомольской, Свердлова.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4) Котельная №4 (Экспедиция №5) осуществляет теплоснабжение южной части города в районе улиц Тимирязева, 19-го Партсъезда, Советской.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5) Котельная №5 (Совхоз) снабжает теплом часть жилищного фонда в Северном районе города по улицам Капустина, Северной и Ключевой.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6) Электрокотельная ДТВ ОАО «РЖД» осуществляет теплоснабжение объектов ОАО «РЖД», многоквартирного дома №2 по улице Осипенко и четыре дома индивидуального жилищного сектора по улице Дарвина и улице Пугачева.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7) Электрокотельная ПС-500 осуществляет теплоснабжение объектов по улице Энергетиков.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Теплоснабжение индивидуального жилищного сектора осуществляется за счет печного отопления (дрова, уголь, электроэнергия).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Кроме того, ряд предприятий Тайшетского городского поселения имеют собственные источники тепловой энергии, которые используются для обеспечения собственных потребностей в тепловой энергии и не являются поставщиками коммунальных ресурсов.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Согласно генеральному плану в городе Тайшете находятся следующие бюджетные и прочие организации с индивидуальными источниками теплоснабжения: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1. Очистные сооружения НГЧ;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2. МОУ СОУ школа-интернат №19;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3. ОГБУЗ «Тайшетская районная больница», фтизиатрический кабинет;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4. Отдел таможенного оформления и таможенного контроля;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5. ОГКУ «Отдел противопожарной службы Тайшетского района;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6. ОГУСО «Социальный приют для детей и подростков «Аистенок»;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7. Магазин «Бирюса»;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8. МКОУ ДОД «Станция юных техников»;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9. МКОУ ДОД «Станция юных натуралистов;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tabs>
          <w:tab w:val="left" w:pos="330" w:leader="none"/>
        </w:tabs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10. РЭО ГИБДД ОМВД России по Тайшетскому району;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11. ООО «Автоспецсервис»;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12. ОГУП «Дорожная служба Иркутской области»;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13. ООО «Шелеховское»;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14. Котельная №1 ОАО «РЖД» (локомотивное депо);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15. Котельная №2 ОАО «РЖД» (вагонное депо);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16. Гостиница «</w:t>
      </w:r>
      <w:r>
        <w:rPr>
          <w:spacing w:val="1"/>
          <w:shd w:val="clear" w:color="auto" w:fill="ffffff"/>
          <w:lang w:val="en-US"/>
        </w:rPr>
        <w:t xml:space="preserve">Harbor</w:t>
      </w:r>
      <w:r>
        <w:rPr>
          <w:spacing w:val="1"/>
          <w:shd w:val="clear" w:color="auto" w:fill="ffffff"/>
        </w:rPr>
        <w:t xml:space="preserve">»;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17. Филиал «Агрострой» ОАО «Дорожная служба»;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18. АУ «Тайшетский лесхоз»;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19. Бюро судебно-медицинской экспертизы ФГП;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20. Бывшая база Тайшетский ОРС НОД (ПМТС-1);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21. Производственная база СМУ-3 (СМП-621);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22. Тайшетская нефтебаза Тайшетский цех ООО «Иркутск-Терминал»;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23. Баня, ИП Шадрина Л.А.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В Таблице 4 приведен перечень модульных котельных, находящихся в собственности муниципального образования «Тайшетский район» и расположенных на территории города Тайшета.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right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Таблица 4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jc w:val="center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Модульные котельные, находящиеся в собственности муниципального образования «Тайшетский район», расположенные на территории города Тайшета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tbl>
      <w:tblPr>
        <w:tblW w:w="9356" w:type="dxa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1701"/>
        <w:gridCol w:w="1418"/>
        <w:gridCol w:w="1134"/>
        <w:gridCol w:w="3402"/>
      </w:tblGrid>
      <w:tr>
        <w:tblPrEx/>
        <w:trPr/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Наименование объекта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Адрес расположения теплоисточника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1418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Установленная мощность, Гкал/час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Подключенная нагрузка, Гкал/час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3402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Отапливаемые объекты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улица Советская, 39/1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1418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1,0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0,3528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3402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ОГБУЗ «Тайшетская районная больница»: врачебно-физкультурный диспансер Центр здоровья, терапевтическое отделение, стоматология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-8"/>
                <w:sz w:val="22"/>
                <w:szCs w:val="22"/>
                <w:shd w:val="clear" w:color="auto" w:fill="ffffff"/>
              </w:rPr>
            </w:pPr>
            <w:r>
              <w:rPr>
                <w:spacing w:val="-8"/>
                <w:sz w:val="22"/>
                <w:szCs w:val="22"/>
                <w:shd w:val="clear" w:color="auto" w:fill="ffffff"/>
              </w:rPr>
              <w:t xml:space="preserve">улица Ивана Бича, 1/1</w:t>
            </w:r>
            <w:r>
              <w:rPr>
                <w:spacing w:val="-8"/>
                <w:sz w:val="22"/>
                <w:szCs w:val="22"/>
                <w:shd w:val="clear" w:color="auto" w:fill="ffffff"/>
              </w:rPr>
            </w:r>
            <w:r>
              <w:rPr>
                <w:spacing w:val="-8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1418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0,6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0,301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3402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МКОУ СОШ №23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улица Чапаева, 1/1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1418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bCs/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bCs/>
                <w:spacing w:val="1"/>
                <w:sz w:val="22"/>
                <w:szCs w:val="22"/>
                <w:shd w:val="clear" w:color="auto" w:fill="ffffff"/>
              </w:rPr>
              <w:t xml:space="preserve">0,4</w:t>
            </w:r>
            <w:r>
              <w:rPr>
                <w:bCs/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bCs/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bCs/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bCs/>
                <w:spacing w:val="1"/>
                <w:sz w:val="22"/>
                <w:szCs w:val="22"/>
                <w:shd w:val="clear" w:color="auto" w:fill="ffffff"/>
              </w:rPr>
              <w:t xml:space="preserve">0,1458</w:t>
            </w:r>
            <w:r>
              <w:rPr>
                <w:bCs/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bCs/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3402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bCs/>
                <w:spacing w:val="1"/>
                <w:sz w:val="22"/>
                <w:szCs w:val="22"/>
                <w:shd w:val="clear" w:color="auto" w:fill="ffffff"/>
              </w:rPr>
              <w:t xml:space="preserve">МКУДО ДМШ № 2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улица 19 Партсъезда, 3/3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1418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0,4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0,069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3402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МКДОУ детский сад присмотра и оздоровления №15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Котельная №14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улица Воинов-интернационалистов, 109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1418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0,6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0,3204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3402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МКДОУ детский сад №5, МКОУ СОШ №1 имени Николая Островского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улица Октябрьская, 86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1418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1,25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0,9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3402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административное здание,  здание гаража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МКУДО "ЦДО «Радуга»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улица Ленина, 113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1418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0,6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0,33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auto"/>
            <w:tcW w:w="3402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spacing w:val="1"/>
                <w:sz w:val="22"/>
                <w:szCs w:val="22"/>
                <w:shd w:val="clear" w:color="auto" w:fill="ffffff"/>
              </w:rPr>
            </w:pPr>
            <w:r>
              <w:rPr>
                <w:spacing w:val="1"/>
                <w:sz w:val="22"/>
                <w:szCs w:val="22"/>
                <w:shd w:val="clear" w:color="auto" w:fill="ffffff"/>
              </w:rPr>
              <w:t xml:space="preserve">МКУДО "ЦДО «Радуга»</w:t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  <w:r>
              <w:rPr>
                <w:spacing w:val="1"/>
                <w:sz w:val="22"/>
                <w:szCs w:val="22"/>
                <w:shd w:val="clear" w:color="auto" w:fill="ffffff"/>
              </w:rPr>
            </w:r>
          </w:p>
        </w:tc>
      </w:tr>
    </w:tbl>
    <w:p>
      <w:pPr>
        <w:ind w:firstLine="709"/>
        <w:jc w:val="both"/>
        <w:keepLines/>
        <w:keepNext/>
        <w:widowControl w:val="off"/>
      </w:pPr>
      <w:r>
        <w:rPr>
          <w:bCs/>
          <w:highlight w:val="none"/>
          <w:shd w:val="clear" w:color="auto" w:fill="ffffff"/>
        </w:rPr>
      </w:r>
      <w:r>
        <w:rPr>
          <w:bCs/>
          <w:highlight w:val="none"/>
          <w:shd w:val="clear" w:color="auto" w:fill="ffffff"/>
        </w:rPr>
      </w:r>
      <w:r/>
    </w:p>
    <w:p>
      <w:pPr>
        <w:ind w:firstLine="709"/>
        <w:jc w:val="both"/>
        <w:keepLines/>
        <w:keepNext/>
        <w:widowControl w:val="off"/>
        <w:rPr>
          <w:highlight w:val="none"/>
          <w:shd w:val="clear" w:color="auto" w:fill="ffffff"/>
        </w:rPr>
      </w:pPr>
      <w:r/>
      <w:bookmarkStart w:id="6" w:name="_Toc149054963"/>
      <w:r>
        <w:rPr>
          <w:bCs/>
          <w:shd w:val="clear" w:color="auto" w:fill="ffffff"/>
        </w:rPr>
        <w:t xml:space="preserve">2.3. Существующие и перспективные балансы тепловой мощности и тепловой нагрузки потребителей в зонах действия источников тепловой энергии, в том числе работающих на единую тепловую сеть, на каждом этапе</w:t>
      </w:r>
      <w:bookmarkEnd w:id="6"/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В соответствии с постановлением Правительства Росси</w:t>
      </w:r>
      <w:r>
        <w:rPr>
          <w:shd w:val="clear" w:color="auto" w:fill="ffffff"/>
        </w:rPr>
        <w:t xml:space="preserve">йской Федераци от 22 февраля 2012 года №154 «О требованиях к схемам теплоснабжения, порядку их разработки и утверждения», установленная мощность источника тепловой энергии - сумма номинальных тепловых мощностей всего принятого по акту ввода в эксплуатацию </w:t>
      </w:r>
      <w:r>
        <w:rPr>
          <w:shd w:val="clear" w:color="auto" w:fill="ffffff"/>
        </w:rPr>
        <w:t xml:space="preserve">оборудования, предназначенного для отпуска тепловой энергии потребителям на собственные и хозяйственные нужды.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Существующие и перспективные значения установленной тепловой мощности основного оборудования </w:t>
      </w:r>
      <w:r>
        <w:rPr>
          <w:rFonts w:eastAsia="Calibri"/>
          <w:lang w:eastAsia="en-US"/>
        </w:rPr>
        <w:t xml:space="preserve">котельных Тайшетского городского поселения </w:t>
      </w:r>
      <w:r>
        <w:rPr>
          <w:shd w:val="clear" w:color="auto" w:fill="ffffff"/>
        </w:rPr>
        <w:t xml:space="preserve">представлены в Таблице 5.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right"/>
        <w:rPr>
          <w:shd w:val="clear" w:color="auto" w:fill="ffffff"/>
        </w:rPr>
      </w:pPr>
      <w:r>
        <w:rPr>
          <w:shd w:val="clear" w:color="auto" w:fill="ffffff"/>
        </w:rPr>
        <w:t xml:space="preserve">Таблица 5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center"/>
        <w:rPr>
          <w:shd w:val="clear" w:color="auto" w:fill="ffffff"/>
        </w:rPr>
      </w:pPr>
      <w:r>
        <w:rPr>
          <w:shd w:val="clear" w:color="auto" w:fill="ffffff"/>
        </w:rPr>
        <w:t xml:space="preserve">Существующие и перспективные значения установленной тепловой мощности 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center"/>
        <w:rPr>
          <w:rFonts w:eastAsia="Calibri"/>
          <w:lang w:eastAsia="en-US"/>
        </w:rPr>
      </w:pPr>
      <w:r>
        <w:rPr>
          <w:shd w:val="clear" w:color="auto" w:fill="ffffff"/>
        </w:rPr>
        <w:t xml:space="preserve">основного оборудования </w:t>
      </w:r>
      <w:r>
        <w:rPr>
          <w:rFonts w:eastAsia="Calibri"/>
          <w:lang w:eastAsia="en-US"/>
        </w:rPr>
        <w:t xml:space="preserve">котельных Тайшетского городского поселения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tbl>
      <w:tblPr>
        <w:tblW w:w="5111" w:type="pct"/>
        <w:tblInd w:w="-176" w:type="dxa"/>
        <w:tblLayout w:type="fixed"/>
        <w:tblLook w:val="04A0" w:firstRow="1" w:lastRow="0" w:firstColumn="1" w:lastColumn="0" w:noHBand="0" w:noVBand="1"/>
      </w:tblPr>
      <w:tblGrid>
        <w:gridCol w:w="1760"/>
        <w:gridCol w:w="720"/>
        <w:gridCol w:w="221"/>
        <w:gridCol w:w="788"/>
        <w:gridCol w:w="12"/>
        <w:gridCol w:w="802"/>
        <w:gridCol w:w="802"/>
        <w:gridCol w:w="802"/>
        <w:gridCol w:w="802"/>
        <w:gridCol w:w="812"/>
        <w:gridCol w:w="706"/>
        <w:gridCol w:w="710"/>
        <w:gridCol w:w="845"/>
      </w:tblGrid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899" w:type="pct"/>
            <w:vAlign w:val="center"/>
            <w:vMerge w:val="restart"/>
            <w:textDirection w:val="lrTb"/>
            <w:noWrap w:val="false"/>
          </w:tcPr>
          <w:p>
            <w:pPr>
              <w:ind w:right="-58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Наименование муниципальной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68" w:type="pct"/>
            <w:textDirection w:val="lrTb"/>
            <w:noWrap w:val="false"/>
          </w:tcPr>
          <w:p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Borders>
              <w:top w:val="single" w:color="auto" w:sz="8" w:space="0"/>
              <w:left w:val="none" w:color="000000" w:sz="4" w:space="0"/>
              <w:bottom w:val="none" w:color="000000" w:sz="4" w:space="0"/>
              <w:right w:val="single" w:color="000000" w:sz="8" w:space="0"/>
            </w:tcBorders>
            <w:tcW w:w="3733" w:type="pct"/>
            <w:vAlign w:val="center"/>
            <w:textDirection w:val="lrTb"/>
            <w:noWrap w:val="false"/>
          </w:tcPr>
          <w:p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Установленная тепловая мощность основного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899" w:type="pct"/>
            <w:vAlign w:val="center"/>
            <w:vMerge w:val="continue"/>
            <w:textDirection w:val="lrTb"/>
            <w:noWrap w:val="false"/>
          </w:tcPr>
          <w:p>
            <w:pPr>
              <w:ind w:right="-58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none" w:color="000000" w:sz="4" w:space="0"/>
            </w:tcBorders>
            <w:tcW w:w="368" w:type="pct"/>
            <w:textDirection w:val="lrTb"/>
            <w:noWrap w:val="false"/>
          </w:tcPr>
          <w:p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000000" w:sz="8" w:space="0"/>
            </w:tcBorders>
            <w:tcW w:w="3733" w:type="pct"/>
            <w:vAlign w:val="center"/>
            <w:textDirection w:val="lrTb"/>
            <w:noWrap w:val="false"/>
          </w:tcPr>
          <w:p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оборудования котельной, Гкал/час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899" w:type="pct"/>
            <w:vAlign w:val="center"/>
            <w:vMerge w:val="continue"/>
            <w:textDirection w:val="lrTb"/>
            <w:noWrap w:val="false"/>
          </w:tcPr>
          <w:p>
            <w:pPr>
              <w:ind w:right="-58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884" w:type="pct"/>
            <w:vAlign w:val="center"/>
            <w:textDirection w:val="lrTb"/>
            <w:noWrap w:val="false"/>
          </w:tcPr>
          <w:p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Базовая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000000" w:sz="8" w:space="0"/>
            </w:tcBorders>
            <w:tcW w:w="3218" w:type="pct"/>
            <w:vAlign w:val="center"/>
            <w:textDirection w:val="lrTb"/>
            <w:noWrap w:val="false"/>
          </w:tcPr>
          <w:p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Перспективная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899" w:type="pct"/>
            <w:vAlign w:val="center"/>
            <w:vMerge w:val="continue"/>
            <w:textDirection w:val="lrTb"/>
            <w:noWrap w:val="false"/>
          </w:tcPr>
          <w:p>
            <w:pPr>
              <w:ind w:right="-58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81" w:type="pct"/>
            <w:vAlign w:val="center"/>
            <w:textDirection w:val="lrTb"/>
            <w:noWrap w:val="false"/>
          </w:tcPr>
          <w:p>
            <w:pPr>
              <w:jc w:val="both"/>
              <w:rPr>
                <w:bCs/>
                <w:sz w:val="22"/>
                <w:szCs w:val="22"/>
                <w:lang w:val="en-US"/>
              </w:rPr>
            </w:pPr>
            <w:r>
              <w:rPr>
                <w:bCs/>
                <w:sz w:val="22"/>
                <w:szCs w:val="22"/>
              </w:rPr>
              <w:t xml:space="preserve">202</w:t>
            </w:r>
            <w:r>
              <w:rPr>
                <w:bCs/>
                <w:sz w:val="22"/>
                <w:szCs w:val="22"/>
                <w:lang w:val="en-US"/>
              </w:rPr>
              <w:t xml:space="preserve">3</w:t>
            </w:r>
            <w:r>
              <w:rPr>
                <w:bCs/>
                <w:sz w:val="22"/>
                <w:szCs w:val="22"/>
                <w:lang w:val="en-US"/>
              </w:rPr>
            </w:r>
            <w:r>
              <w:rPr>
                <w:bCs/>
                <w:sz w:val="22"/>
                <w:szCs w:val="22"/>
                <w:lang w:val="en-US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9" w:type="pct"/>
            <w:vAlign w:val="center"/>
            <w:textDirection w:val="lrTb"/>
            <w:noWrap w:val="false"/>
          </w:tcPr>
          <w:p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</w:t>
            </w:r>
            <w:r>
              <w:rPr>
                <w:bCs/>
                <w:sz w:val="22"/>
                <w:szCs w:val="22"/>
                <w:lang w:val="en-US"/>
              </w:rPr>
              <w:t xml:space="preserve">4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</w:t>
            </w:r>
            <w:r>
              <w:rPr>
                <w:bCs/>
                <w:sz w:val="22"/>
                <w:szCs w:val="22"/>
                <w:lang w:val="en-US"/>
              </w:rPr>
              <w:t xml:space="preserve">5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</w:t>
            </w:r>
            <w:r>
              <w:rPr>
                <w:bCs/>
                <w:sz w:val="22"/>
                <w:szCs w:val="22"/>
                <w:lang w:val="en-US"/>
              </w:rPr>
              <w:t xml:space="preserve">6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</w:t>
            </w:r>
            <w:r>
              <w:rPr>
                <w:bCs/>
                <w:sz w:val="22"/>
                <w:szCs w:val="22"/>
                <w:lang w:val="en-US"/>
              </w:rPr>
              <w:t xml:space="preserve">7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</w:t>
            </w:r>
            <w:r>
              <w:rPr>
                <w:bCs/>
                <w:sz w:val="22"/>
                <w:szCs w:val="22"/>
                <w:lang w:val="en-US"/>
              </w:rPr>
              <w:t xml:space="preserve">8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5" w:type="pct"/>
            <w:vAlign w:val="center"/>
            <w:textDirection w:val="lrTb"/>
            <w:noWrap w:val="false"/>
          </w:tcPr>
          <w:p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</w:t>
            </w:r>
            <w:r>
              <w:rPr>
                <w:bCs/>
                <w:sz w:val="22"/>
                <w:szCs w:val="22"/>
                <w:lang w:val="en-US"/>
              </w:rPr>
              <w:t xml:space="preserve">9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1" w:type="pct"/>
            <w:vAlign w:val="center"/>
            <w:textDirection w:val="lrTb"/>
            <w:noWrap w:val="false"/>
          </w:tcPr>
          <w:p>
            <w:pPr>
              <w:ind w:left="-111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</w:t>
            </w:r>
            <w:r>
              <w:rPr>
                <w:bCs/>
                <w:sz w:val="22"/>
                <w:szCs w:val="22"/>
                <w:lang w:val="en-US"/>
              </w:rPr>
              <w:t xml:space="preserve">30</w:t>
            </w:r>
            <w:r>
              <w:rPr>
                <w:bCs/>
                <w:sz w:val="22"/>
                <w:szCs w:val="22"/>
              </w:rPr>
              <w:t xml:space="preserve">-2034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3" w:type="pct"/>
            <w:vAlign w:val="center"/>
            <w:textDirection w:val="lrTb"/>
            <w:noWrap w:val="false"/>
          </w:tcPr>
          <w:p>
            <w:pPr>
              <w:ind w:left="-109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</w:t>
            </w:r>
            <w:r>
              <w:rPr>
                <w:bCs/>
                <w:sz w:val="22"/>
                <w:szCs w:val="22"/>
              </w:rPr>
              <w:t xml:space="preserve">035-2039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8" w:space="0"/>
            </w:tcBorders>
            <w:tcW w:w="433" w:type="pc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2040</w:t>
            </w:r>
            <w:r>
              <w:rPr>
                <w:bCs/>
                <w:sz w:val="22"/>
                <w:szCs w:val="22"/>
              </w:rPr>
              <w:t xml:space="preserve">-2041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552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899" w:type="pct"/>
            <w:vAlign w:val="center"/>
            <w:textDirection w:val="lrTb"/>
            <w:noWrap w:val="false"/>
          </w:tcPr>
          <w:p>
            <w:pPr>
              <w:ind w:right="-5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4" w:space="0"/>
            </w:tcBorders>
            <w:tcW w:w="48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000000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41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36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4" w:space="0"/>
            </w:tcBorders>
            <w:tcW w:w="36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552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899" w:type="pct"/>
            <w:vAlign w:val="center"/>
            <w:textDirection w:val="lrTb"/>
            <w:noWrap w:val="false"/>
          </w:tcPr>
          <w:p>
            <w:pPr>
              <w:ind w:right="-5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2 (ШПЗ)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4" w:space="0"/>
            </w:tcBorders>
            <w:tcW w:w="48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000000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41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36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4" w:space="0"/>
            </w:tcBorders>
            <w:tcW w:w="36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417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899" w:type="pct"/>
            <w:vAlign w:val="center"/>
            <w:textDirection w:val="lrTb"/>
            <w:noWrap w:val="false"/>
          </w:tcPr>
          <w:p>
            <w:pPr>
              <w:ind w:right="-5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3 (Мелькомбинат)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4" w:space="0"/>
            </w:tcBorders>
            <w:tcW w:w="48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000000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41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36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4" w:space="0"/>
            </w:tcBorders>
            <w:tcW w:w="36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552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899" w:type="pct"/>
            <w:vAlign w:val="center"/>
            <w:textDirection w:val="lrTb"/>
            <w:noWrap w:val="false"/>
          </w:tcPr>
          <w:p>
            <w:pPr>
              <w:ind w:right="-5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4 (Экспедиция 5)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4" w:space="0"/>
            </w:tcBorders>
            <w:tcW w:w="48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000000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</w:t>
            </w:r>
            <w:r>
              <w:rPr>
                <w:sz w:val="22"/>
                <w:szCs w:val="22"/>
              </w:rPr>
              <w:t xml:space="preserve">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41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36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4" w:space="0"/>
            </w:tcBorders>
            <w:tcW w:w="36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552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899" w:type="pct"/>
            <w:vAlign w:val="center"/>
            <w:textDirection w:val="lrTb"/>
            <w:noWrap w:val="false"/>
          </w:tcPr>
          <w:p>
            <w:pPr>
              <w:ind w:right="-5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5 (Совхоз)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4" w:space="0"/>
            </w:tcBorders>
            <w:tcW w:w="48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1,07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1,07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000000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1,0</w:t>
            </w:r>
            <w:r>
              <w:rPr>
                <w:sz w:val="22"/>
                <w:szCs w:val="22"/>
              </w:rPr>
              <w:t xml:space="preserve">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1,07</w:t>
            </w:r>
            <w:r>
              <w:rPr>
                <w:sz w:val="22"/>
                <w:szCs w:val="22"/>
                <w:lang w:val="en-US"/>
              </w:rPr>
            </w:r>
            <w:r>
              <w:rPr>
                <w:sz w:val="22"/>
                <w:szCs w:val="22"/>
                <w:lang w:val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1,07</w:t>
            </w:r>
            <w:r>
              <w:rPr>
                <w:sz w:val="22"/>
                <w:szCs w:val="22"/>
                <w:lang w:val="en-US"/>
              </w:rPr>
            </w:r>
            <w:r>
              <w:rPr>
                <w:sz w:val="22"/>
                <w:szCs w:val="22"/>
                <w:lang w:val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1,07</w:t>
            </w:r>
            <w:r>
              <w:rPr>
                <w:sz w:val="22"/>
                <w:szCs w:val="22"/>
                <w:lang w:val="en-US"/>
              </w:rPr>
            </w:r>
            <w:r>
              <w:rPr>
                <w:sz w:val="22"/>
                <w:szCs w:val="22"/>
                <w:lang w:val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41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1,07</w:t>
            </w:r>
            <w:r>
              <w:rPr>
                <w:sz w:val="22"/>
                <w:szCs w:val="22"/>
                <w:lang w:val="en-US"/>
              </w:rPr>
            </w:r>
            <w:r>
              <w:rPr>
                <w:sz w:val="22"/>
                <w:szCs w:val="22"/>
                <w:lang w:val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36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1,07</w:t>
            </w:r>
            <w:r>
              <w:rPr>
                <w:sz w:val="22"/>
                <w:szCs w:val="22"/>
                <w:lang w:val="en-US"/>
              </w:rPr>
            </w:r>
            <w:r>
              <w:rPr>
                <w:sz w:val="22"/>
                <w:szCs w:val="22"/>
                <w:lang w:val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4" w:space="0"/>
            </w:tcBorders>
            <w:tcW w:w="36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1,07</w:t>
            </w:r>
            <w:r>
              <w:rPr>
                <w:sz w:val="22"/>
                <w:szCs w:val="22"/>
                <w:lang w:val="en-US"/>
              </w:rPr>
            </w:r>
            <w:r>
              <w:rPr>
                <w:sz w:val="22"/>
                <w:szCs w:val="22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1,07</w:t>
            </w:r>
            <w:r>
              <w:rPr>
                <w:sz w:val="22"/>
                <w:szCs w:val="22"/>
                <w:lang w:val="en-US"/>
              </w:rPr>
            </w:r>
            <w:r>
              <w:rPr>
                <w:sz w:val="22"/>
                <w:szCs w:val="22"/>
                <w:lang w:val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99" w:type="pct"/>
            <w:vAlign w:val="center"/>
            <w:textDirection w:val="lrTb"/>
            <w:noWrap w:val="false"/>
          </w:tcPr>
          <w:p>
            <w:pPr>
              <w:ind w:right="-5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Электрокотельная ДТВ ОАО «РЖД»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8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1" w:type="pct"/>
            <w:vAlign w:val="center"/>
            <w:textDirection w:val="lrTb"/>
            <w:noWrap w:val="false"/>
          </w:tcPr>
          <w:p>
            <w:pPr>
              <w:ind w:right="-10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3" w:type="pct"/>
            <w:vAlign w:val="center"/>
            <w:textDirection w:val="lrTb"/>
            <w:noWrap w:val="false"/>
          </w:tcPr>
          <w:p>
            <w:pPr>
              <w:ind w:left="-1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99" w:type="pct"/>
            <w:vAlign w:val="center"/>
            <w:textDirection w:val="lrTb"/>
            <w:noWrap w:val="false"/>
          </w:tcPr>
          <w:p>
            <w:pPr>
              <w:ind w:right="-5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Электрокотельная ПС-500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8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899" w:type="pct"/>
            <w:vAlign w:val="center"/>
            <w:textDirection w:val="lrTb"/>
            <w:noWrap w:val="false"/>
          </w:tcPr>
          <w:p>
            <w:pPr>
              <w:ind w:right="-58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муниципальному образованию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81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127,31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9" w:type="pct"/>
            <w:vAlign w:val="center"/>
            <w:textDirection w:val="lrTb"/>
            <w:noWrap w:val="false"/>
          </w:tcPr>
          <w:p>
            <w:pPr>
              <w:ind w:right="-156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127,31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ind w:left="-66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127,31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ind w:right="-111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127,31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ind w:right="-159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127,31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0" w:type="pct"/>
            <w:vAlign w:val="center"/>
            <w:textDirection w:val="lrTb"/>
            <w:noWrap w:val="false"/>
          </w:tcPr>
          <w:p>
            <w:pPr>
              <w:ind w:right="-66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127,31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5" w:type="pct"/>
            <w:vAlign w:val="center"/>
            <w:textDirection w:val="lrTb"/>
            <w:noWrap w:val="false"/>
          </w:tcPr>
          <w:p>
            <w:pPr>
              <w:ind w:left="-47" w:right="-107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127,31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1" w:type="pct"/>
            <w:vAlign w:val="center"/>
            <w:textDirection w:val="lrTb"/>
            <w:noWrap w:val="false"/>
          </w:tcPr>
          <w:p>
            <w:pPr>
              <w:ind w:left="-109" w:right="-109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188,51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363" w:type="pct"/>
            <w:vAlign w:val="center"/>
            <w:textDirection w:val="lrTb"/>
            <w:noWrap w:val="false"/>
          </w:tcPr>
          <w:p>
            <w:pPr>
              <w:ind w:left="-109" w:right="-106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188,51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188,51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</w:tbl>
    <w:p>
      <w:pPr>
        <w:ind w:firstLine="709"/>
        <w:jc w:val="both"/>
      </w:pP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  <w:r/>
    </w:p>
    <w:p>
      <w:pPr>
        <w:ind w:firstLine="709"/>
        <w:jc w:val="both"/>
        <w:rPr>
          <w:highlight w:val="none"/>
          <w:shd w:val="clear" w:color="auto" w:fill="ffffff"/>
        </w:rPr>
      </w:pPr>
      <w:r>
        <w:rPr>
          <w:shd w:val="clear" w:color="auto" w:fill="ffffff"/>
        </w:rPr>
        <w:t xml:space="preserve">В соответствии с постановлением Правительства Российской Федерации от 22 февраля 2012 года №154 «О требованиях к схемам теплоснабжения, порядку их разработки и утверждения», располагаемая мощность источника тепловой энергии - вел</w:t>
      </w:r>
      <w:r>
        <w:rPr>
          <w:shd w:val="clear" w:color="auto" w:fill="ffffff"/>
        </w:rPr>
        <w:t xml:space="preserve">ичина, равная установленной мощности источника тепловой энергии за вычетом объемов мощности, не реализуемой по техническим причинам, в том числе по причине снижения тепловой мощности оборудования в результате эксплуатации на продленном техническом ресурсе.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</w:t>
      </w:r>
      <w:r>
        <w:rPr>
          <w:rFonts w:eastAsia="Calibri"/>
          <w:lang w:eastAsia="en-US"/>
        </w:rPr>
        <w:t xml:space="preserve">котельных Тайшетского городского поселения</w:t>
      </w:r>
      <w:r>
        <w:rPr>
          <w:shd w:val="clear" w:color="auto" w:fill="ffffff"/>
        </w:rPr>
        <w:t xml:space="preserve"> представлены в Таблице 6.   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right"/>
        <w:rPr>
          <w:shd w:val="clear" w:color="auto" w:fill="ffffff"/>
        </w:rPr>
        <w:sectPr>
          <w:footnotePr/>
          <w:endnotePr/>
          <w:type w:val="nextPage"/>
          <w:pgSz w:w="11906" w:h="16838" w:orient="portrait"/>
          <w:pgMar w:top="1134" w:right="851" w:bottom="1134" w:left="1701" w:header="340" w:footer="0" w:gutter="0"/>
          <w:cols w:num="1" w:sep="0" w:space="708" w:equalWidth="1"/>
          <w:docGrid w:linePitch="360"/>
          <w:titlePg/>
        </w:sect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right"/>
        <w:rPr>
          <w:shd w:val="clear" w:color="auto" w:fill="ffffff"/>
        </w:rPr>
      </w:pPr>
      <w:r>
        <w:rPr>
          <w:shd w:val="clear" w:color="auto" w:fill="ffffff"/>
        </w:rPr>
        <w:t xml:space="preserve">Таблица 6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center"/>
        <w:rPr>
          <w:rFonts w:eastAsia="Calibri"/>
          <w:lang w:eastAsia="en-US"/>
        </w:rPr>
      </w:pPr>
      <w:r>
        <w:rPr>
          <w:shd w:val="clear" w:color="auto" w:fill="ffffff"/>
        </w:rPr>
        <w:t xml:space="preserve">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</w:t>
      </w:r>
      <w:r>
        <w:rPr>
          <w:rFonts w:eastAsia="Calibri"/>
          <w:lang w:eastAsia="en-US"/>
        </w:rPr>
        <w:t xml:space="preserve">котельных Тайшетского городского поселения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tbl>
      <w:tblPr>
        <w:tblW w:w="5000" w:type="pct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Look w:val="04A0" w:firstRow="1" w:lastRow="0" w:firstColumn="1" w:lastColumn="0" w:noHBand="0" w:noVBand="1"/>
      </w:tblPr>
      <w:tblGrid>
        <w:gridCol w:w="3650"/>
        <w:gridCol w:w="1078"/>
        <w:gridCol w:w="1161"/>
        <w:gridCol w:w="1161"/>
        <w:gridCol w:w="1299"/>
        <w:gridCol w:w="1158"/>
        <w:gridCol w:w="1158"/>
        <w:gridCol w:w="875"/>
        <w:gridCol w:w="1280"/>
        <w:gridCol w:w="1280"/>
        <w:gridCol w:w="1234"/>
        <w:gridCol w:w="18"/>
      </w:tblGrid>
      <w:tr>
        <w:tblPrEx/>
        <w:trPr>
          <w:trHeight w:val="20"/>
          <w:tblHeader/>
        </w:trPr>
        <w:tc>
          <w:tcPr>
            <w:shd w:val="clear" w:color="auto" w:fill="auto"/>
            <w:tcW w:w="1189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Наименование параметра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1"/>
            <w:tcW w:w="3811" w:type="pc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Технические ограничения на использование установленной тепловой мощности и значения располагаемой мощности основного оборудования котельной, Гкал/час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  <w:tblHeader/>
        </w:trPr>
        <w:tc>
          <w:tcPr>
            <w:tcW w:w="1189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right w:val="single" w:color="auto" w:sz="4" w:space="0"/>
            </w:tcBorders>
            <w:tcW w:w="729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Базовая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9"/>
            <w:tcBorders>
              <w:left w:val="single" w:color="auto" w:sz="4" w:space="0"/>
            </w:tcBorders>
            <w:tcW w:w="3082" w:type="pc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Перспективная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  <w:tblHeader/>
        </w:trPr>
        <w:tc>
          <w:tcPr>
            <w:tcW w:w="1189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  <w:lang w:val="en-US"/>
              </w:rPr>
            </w:pPr>
            <w:r>
              <w:rPr>
                <w:bCs/>
                <w:sz w:val="22"/>
                <w:szCs w:val="22"/>
              </w:rPr>
              <w:t xml:space="preserve">202</w:t>
            </w:r>
            <w:r>
              <w:rPr>
                <w:bCs/>
                <w:sz w:val="22"/>
                <w:szCs w:val="22"/>
                <w:lang w:val="en-US"/>
              </w:rPr>
              <w:t xml:space="preserve">3</w:t>
            </w:r>
            <w:r>
              <w:rPr>
                <w:bCs/>
                <w:sz w:val="22"/>
                <w:szCs w:val="22"/>
                <w:lang w:val="en-US"/>
              </w:rPr>
            </w:r>
            <w:r>
              <w:rPr>
                <w:bCs/>
                <w:sz w:val="22"/>
                <w:szCs w:val="22"/>
                <w:lang w:val="en-US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</w:t>
            </w:r>
            <w:r>
              <w:rPr>
                <w:bCs/>
                <w:sz w:val="22"/>
                <w:szCs w:val="22"/>
                <w:lang w:val="en-US"/>
              </w:rPr>
              <w:t xml:space="preserve">4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</w:t>
            </w:r>
            <w:r>
              <w:rPr>
                <w:bCs/>
                <w:sz w:val="22"/>
                <w:szCs w:val="22"/>
                <w:lang w:val="en-US"/>
              </w:rPr>
              <w:t xml:space="preserve">5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</w:t>
            </w:r>
            <w:r>
              <w:rPr>
                <w:bCs/>
                <w:sz w:val="22"/>
                <w:szCs w:val="22"/>
                <w:lang w:val="en-US"/>
              </w:rPr>
              <w:t xml:space="preserve">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</w:t>
            </w:r>
            <w:r>
              <w:rPr>
                <w:bCs/>
                <w:sz w:val="22"/>
                <w:szCs w:val="22"/>
                <w:lang w:val="en-US"/>
              </w:rPr>
              <w:t xml:space="preserve">7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</w:t>
            </w:r>
            <w:r>
              <w:rPr>
                <w:bCs/>
                <w:sz w:val="22"/>
                <w:szCs w:val="22"/>
                <w:lang w:val="en-US"/>
              </w:rPr>
              <w:t xml:space="preserve">8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</w:t>
            </w:r>
            <w:r>
              <w:rPr>
                <w:bCs/>
                <w:sz w:val="22"/>
                <w:szCs w:val="22"/>
                <w:lang w:val="en-US"/>
              </w:rPr>
              <w:t xml:space="preserve">9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ind w:left="-111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</w:t>
            </w:r>
            <w:r>
              <w:rPr>
                <w:bCs/>
                <w:sz w:val="22"/>
                <w:szCs w:val="22"/>
                <w:lang w:val="en-US"/>
              </w:rPr>
              <w:t xml:space="preserve">30</w:t>
            </w:r>
            <w:r>
              <w:rPr>
                <w:bCs/>
                <w:sz w:val="22"/>
                <w:szCs w:val="22"/>
              </w:rPr>
              <w:t xml:space="preserve">-2034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ind w:left="-109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2035-2039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402" w:type="pc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2040-2041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2"/>
            <w:tcW w:w="5000" w:type="pc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№1 (ТКСИ)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Установленная тепловая мощность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17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56</w:t>
            </w:r>
            <w:r/>
          </w:p>
        </w:tc>
        <w:tc>
          <w:tcPr>
            <w:shd w:val="clear" w:color="auto" w:fill="auto"/>
            <w:tcW w:w="417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56</w:t>
            </w:r>
            <w:r/>
          </w:p>
        </w:tc>
        <w:tc>
          <w:tcPr>
            <w:tcW w:w="402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56</w:t>
            </w:r>
            <w:r/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Объемы тепловой мощности, нереализуемые по техническим причинам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21,2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21,2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21,2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21,2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7,2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val="en-US" w:eastAsia="en-US"/>
              </w:rPr>
            </w:pPr>
            <w:r>
              <w:rPr>
                <w:rFonts w:eastAsiaTheme="minorHAnsi"/>
                <w:sz w:val="22"/>
                <w:szCs w:val="22"/>
                <w:lang w:val="en-US" w:eastAsia="en-US"/>
              </w:rPr>
              <w:t xml:space="preserve">7,2</w:t>
            </w:r>
            <w:r>
              <w:rPr>
                <w:rFonts w:eastAsiaTheme="minorHAnsi"/>
                <w:sz w:val="22"/>
                <w:szCs w:val="22"/>
                <w:lang w:val="en-US" w:eastAsia="en-US"/>
              </w:rPr>
            </w:r>
            <w:r>
              <w:rPr>
                <w:rFonts w:eastAsiaTheme="minorHAnsi"/>
                <w:sz w:val="22"/>
                <w:szCs w:val="22"/>
                <w:lang w:val="en-US" w:eastAsia="en-US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7,2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gridAfter w:val="1"/>
          <w:trHeight w:val="332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Располагаемая тепловая мощность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48,8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48,8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48,8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17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56</w:t>
            </w:r>
            <w:r/>
          </w:p>
        </w:tc>
        <w:tc>
          <w:tcPr>
            <w:tcW w:w="402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56</w:t>
            </w:r>
            <w:r/>
          </w:p>
        </w:tc>
      </w:tr>
      <w:tr>
        <w:tblPrEx/>
        <w:trPr>
          <w:trHeight w:val="20"/>
        </w:trPr>
        <w:tc>
          <w:tcPr>
            <w:gridSpan w:val="12"/>
            <w:tcW w:w="5000" w:type="pc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2 (ШПЗ)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Установленная тепловая мощность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17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44,8</w:t>
            </w:r>
            <w:r/>
          </w:p>
        </w:tc>
        <w:tc>
          <w:tcPr>
            <w:shd w:val="clear" w:color="auto" w:fill="auto"/>
            <w:tcW w:w="417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44,8</w:t>
            </w:r>
            <w:r/>
          </w:p>
        </w:tc>
        <w:tc>
          <w:tcPr>
            <w:tcW w:w="402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44,8</w:t>
            </w:r>
            <w:r/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Объемы тепловой мощности, нереализуемые по техническим причинам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Располагаемая тепловая мощность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39,2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39,2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39,2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39,2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48,8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17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44,8</w:t>
            </w:r>
            <w:r/>
          </w:p>
        </w:tc>
        <w:tc>
          <w:tcPr>
            <w:tcW w:w="402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44,8</w:t>
            </w:r>
            <w:r/>
          </w:p>
        </w:tc>
      </w:tr>
      <w:tr>
        <w:tblPrEx/>
        <w:trPr>
          <w:trHeight w:val="20"/>
        </w:trPr>
        <w:tc>
          <w:tcPr>
            <w:gridSpan w:val="12"/>
            <w:tcW w:w="5000" w:type="pc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3 (Мелькомбинат)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Установленная тепловая мощность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0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Объемы тепловой мощности, нереализуемые по техническим причинам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0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77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Располагаемая тепловая мощность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0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2"/>
            <w:tcW w:w="5000" w:type="pc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4 (Экспедиция 5)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Установленная тепловая мощность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</w:t>
            </w:r>
            <w:r>
              <w:rPr>
                <w:sz w:val="22"/>
                <w:szCs w:val="22"/>
              </w:rPr>
              <w:t xml:space="preserve">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0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Объемы тепловой мощности, нереализуемые по техническим причинам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0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460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Располагаемая тепловая мощность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0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2"/>
            <w:tcW w:w="5000" w:type="pc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5 (Совхоз)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Установленная тепловая мощность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78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</w:t>
            </w:r>
            <w:r/>
          </w:p>
        </w:tc>
        <w:tc>
          <w:tcPr>
            <w:shd w:val="clear" w:color="auto" w:fill="auto"/>
            <w:tcW w:w="423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</w:t>
            </w:r>
            <w:r/>
          </w:p>
        </w:tc>
        <w:tc>
          <w:tcPr>
            <w:shd w:val="clear" w:color="auto" w:fill="auto"/>
            <w:tcW w:w="377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</w:t>
            </w:r>
            <w:r/>
          </w:p>
        </w:tc>
        <w:tc>
          <w:tcPr>
            <w:shd w:val="clear" w:color="auto" w:fill="auto"/>
            <w:tcW w:w="377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</w:t>
            </w:r>
            <w:r/>
          </w:p>
        </w:tc>
        <w:tc>
          <w:tcPr>
            <w:shd w:val="clear" w:color="auto" w:fill="auto"/>
            <w:tcW w:w="285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</w:t>
            </w:r>
            <w:r/>
          </w:p>
        </w:tc>
        <w:tc>
          <w:tcPr>
            <w:shd w:val="clear" w:color="auto" w:fill="auto"/>
            <w:tcW w:w="417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</w:t>
            </w:r>
            <w:r/>
          </w:p>
        </w:tc>
        <w:tc>
          <w:tcPr>
            <w:shd w:val="clear" w:color="auto" w:fill="auto"/>
            <w:tcW w:w="417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</w:t>
            </w:r>
            <w:r/>
          </w:p>
        </w:tc>
        <w:tc>
          <w:tcPr>
            <w:tcW w:w="402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</w:t>
            </w:r>
            <w:r/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Объемы тепловой мощности, нереализуемые по техническим причинам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Располагаемая тепловая мощность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78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</w:t>
            </w:r>
            <w:r/>
          </w:p>
        </w:tc>
        <w:tc>
          <w:tcPr>
            <w:shd w:val="clear" w:color="auto" w:fill="auto"/>
            <w:tcW w:w="423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</w:t>
            </w:r>
            <w:r/>
          </w:p>
        </w:tc>
        <w:tc>
          <w:tcPr>
            <w:shd w:val="clear" w:color="auto" w:fill="auto"/>
            <w:tcW w:w="377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</w:t>
            </w:r>
            <w:r/>
          </w:p>
        </w:tc>
        <w:tc>
          <w:tcPr>
            <w:shd w:val="clear" w:color="auto" w:fill="auto"/>
            <w:tcW w:w="377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</w:t>
            </w:r>
            <w:r/>
          </w:p>
        </w:tc>
        <w:tc>
          <w:tcPr>
            <w:shd w:val="clear" w:color="auto" w:fill="auto"/>
            <w:tcW w:w="285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</w:t>
            </w:r>
            <w:r/>
          </w:p>
        </w:tc>
        <w:tc>
          <w:tcPr>
            <w:shd w:val="clear" w:color="auto" w:fill="auto"/>
            <w:tcW w:w="417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</w:t>
            </w:r>
            <w:r/>
          </w:p>
        </w:tc>
        <w:tc>
          <w:tcPr>
            <w:shd w:val="clear" w:color="auto" w:fill="auto"/>
            <w:tcW w:w="417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</w:t>
            </w:r>
            <w:r/>
          </w:p>
        </w:tc>
        <w:tc>
          <w:tcPr>
            <w:tcW w:w="402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</w:t>
            </w:r>
            <w:r/>
          </w:p>
        </w:tc>
      </w:tr>
      <w:tr>
        <w:tblPrEx/>
        <w:trPr>
          <w:trHeight w:val="20"/>
        </w:trPr>
        <w:tc>
          <w:tcPr>
            <w:gridSpan w:val="12"/>
            <w:tcW w:w="5000" w:type="pc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Электрокотельная ДТВ ОАО «РЖД»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Установленная тепловая мощность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0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Объемы тепловой мощности, нереализуемые по техническим причинам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0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Располагаемая тепловая мощность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0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2"/>
            <w:tcW w:w="5000" w:type="pc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Электрокотельная ПС-500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Установленная тепловая мощность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0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Объемы тепловой мощности, нереализуемые по техническим причинам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0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Располагаемая тепловая мощность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0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2"/>
            <w:tcW w:w="5000" w:type="pc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муниципальному образованию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gridAfter w:val="1"/>
          <w:trHeight w:val="292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Установленная тепловая мощность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127,31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127,31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127,31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127,31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127,31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127,31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127,31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127,31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17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127,31</w:t>
            </w:r>
            <w:r/>
          </w:p>
        </w:tc>
        <w:tc>
          <w:tcPr>
            <w:tcW w:w="402" w:type="pct"/>
            <w:textDirection w:val="lrTb"/>
            <w:noWrap w:val="false"/>
          </w:tcPr>
          <w:p>
            <w:pPr>
              <w:jc w:val="center"/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127,31</w:t>
            </w:r>
            <w:r/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Объемы тепловой мощности, нереализуемые по техническим причинам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31,98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31,98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31,98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31,98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0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W w:w="11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Располагаемая тепловая мощность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5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95,33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95,33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7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95,33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95,33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114,93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114,93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114,93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122,13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122,13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0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122,13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Существующие и перспективные затраты тепловой мощности на собственные и хозяйственные нужды теплоснабжающей организации в отношении котельных Тайшетского городского поселения представлены в Таблице 7.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1095" w:leader="none"/>
        </w:tabs>
        <w:rPr>
          <w:shd w:val="clear" w:color="auto" w:fill="ffffff"/>
        </w:r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spacing w:before="120"/>
        <w:rPr>
          <w:shd w:val="clear" w:color="auto" w:fill="ffffff"/>
        </w:r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spacing w:before="120"/>
        <w:rPr>
          <w:shd w:val="clear" w:color="auto" w:fill="ffffff"/>
        </w:rPr>
        <w:sectPr>
          <w:footnotePr/>
          <w:endnotePr/>
          <w:type w:val="nextPage"/>
          <w:pgSz w:w="16838" w:h="11906" w:orient="landscape"/>
          <w:pgMar w:top="851" w:right="851" w:bottom="851" w:left="851" w:header="340" w:footer="0" w:gutter="0"/>
          <w:cols w:num="1" w:sep="0" w:space="708" w:equalWidth="1"/>
          <w:docGrid w:linePitch="360"/>
          <w:titlePg/>
        </w:sect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right"/>
        <w:rPr>
          <w:shd w:val="clear" w:color="auto" w:fill="ffffff"/>
        </w:rPr>
      </w:pPr>
      <w:r>
        <w:rPr>
          <w:shd w:val="clear" w:color="auto" w:fill="ffffff"/>
        </w:rPr>
        <w:t xml:space="preserve">Таблица 7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center"/>
        <w:rPr>
          <w:shd w:val="clear" w:color="auto" w:fill="ffffff"/>
        </w:rPr>
      </w:pPr>
      <w:r>
        <w:rPr>
          <w:shd w:val="clear" w:color="auto" w:fill="ffffff"/>
        </w:rPr>
        <w:t xml:space="preserve">Существующие и перспективные затраты тепловой мощности на собственные и </w:t>
      </w:r>
      <w:r>
        <w:rPr>
          <w:shd w:val="clear" w:color="auto" w:fill="ffffff"/>
        </w:rPr>
        <w:t xml:space="preserve">хозяйственные нужды теплоснабжающей организации в отношении котельных Тайшетского городского поселения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tbl>
      <w:tblPr>
        <w:tblW w:w="9782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985"/>
        <w:gridCol w:w="709"/>
        <w:gridCol w:w="851"/>
        <w:gridCol w:w="850"/>
        <w:gridCol w:w="709"/>
        <w:gridCol w:w="850"/>
        <w:gridCol w:w="851"/>
        <w:gridCol w:w="850"/>
        <w:gridCol w:w="709"/>
        <w:gridCol w:w="709"/>
        <w:gridCol w:w="709"/>
      </w:tblGrid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198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Наименование муниципальной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0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000000" w:sz="8" w:space="0"/>
            </w:tcBorders>
            <w:tcW w:w="7797" w:type="dxa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Затраты тепловой мощности на собственные и хозяйственные нужды теплоснабжающей организации в отношении котельной, Гкал/час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1985" w:type="dxa"/>
            <w:vAlign w:val="center"/>
            <w:vMerge w:val="continue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156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Базовая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000000" w:sz="8" w:space="0"/>
            </w:tcBorders>
            <w:tcW w:w="6237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Перспективная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1985" w:type="dxa"/>
            <w:vAlign w:val="center"/>
            <w:vMerge w:val="continue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2023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ind w:righ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2024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2025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2026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2027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2028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2029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</w:t>
            </w:r>
            <w:r>
              <w:rPr>
                <w:bCs/>
                <w:sz w:val="22"/>
                <w:szCs w:val="22"/>
                <w:lang w:val="en-US"/>
              </w:rPr>
              <w:t xml:space="preserve">30</w:t>
            </w:r>
            <w:r>
              <w:rPr>
                <w:bCs/>
                <w:sz w:val="22"/>
                <w:szCs w:val="22"/>
              </w:rPr>
              <w:t xml:space="preserve">-203</w:t>
            </w:r>
            <w:r>
              <w:rPr>
                <w:bCs/>
                <w:sz w:val="22"/>
                <w:szCs w:val="22"/>
                <w:lang w:val="en-US"/>
              </w:rPr>
              <w:t xml:space="preserve">4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</w:t>
            </w:r>
            <w:r>
              <w:rPr>
                <w:bCs/>
                <w:sz w:val="22"/>
                <w:szCs w:val="22"/>
                <w:lang w:val="en-US"/>
              </w:rPr>
              <w:t xml:space="preserve">5</w:t>
            </w:r>
            <w:r>
              <w:rPr>
                <w:bCs/>
                <w:sz w:val="22"/>
                <w:szCs w:val="22"/>
              </w:rPr>
              <w:t xml:space="preserve">-203</w:t>
            </w:r>
            <w:r>
              <w:rPr>
                <w:bCs/>
                <w:sz w:val="22"/>
                <w:szCs w:val="22"/>
                <w:lang w:val="en-US"/>
              </w:rPr>
              <w:t xml:space="preserve">9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textDirection w:val="lrTb"/>
            <w:noWrap w:val="false"/>
          </w:tcPr>
          <w:p>
            <w:pPr>
              <w:ind w:lef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</w:t>
            </w:r>
            <w:r>
              <w:rPr>
                <w:bCs/>
                <w:sz w:val="22"/>
                <w:szCs w:val="22"/>
                <w:lang w:val="en-US"/>
              </w:rPr>
              <w:t xml:space="preserve">40</w:t>
            </w:r>
            <w:r>
              <w:rPr>
                <w:bCs/>
                <w:sz w:val="22"/>
                <w:szCs w:val="22"/>
              </w:rPr>
              <w:t xml:space="preserve">-2041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98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2,08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</w:t>
            </w:r>
            <w:r>
              <w:rPr>
                <w:sz w:val="22"/>
                <w:szCs w:val="22"/>
              </w:rPr>
              <w:t xml:space="preserve">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2,98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2,98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</w:t>
            </w: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</w:t>
            </w: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</w:t>
            </w: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</w:t>
            </w: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98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2 (ШПЗ)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</w:t>
            </w:r>
            <w:r>
              <w:rPr>
                <w:sz w:val="22"/>
                <w:szCs w:val="22"/>
              </w:rPr>
              <w:t xml:space="preserve">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2,3</w:t>
            </w: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2,3</w:t>
            </w:r>
            <w:r>
              <w:rPr>
                <w:sz w:val="22"/>
                <w:szCs w:val="22"/>
              </w:rPr>
              <w:t xml:space="preserve">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2,3</w:t>
            </w:r>
            <w:r>
              <w:rPr>
                <w:sz w:val="22"/>
                <w:szCs w:val="22"/>
              </w:rPr>
              <w:t xml:space="preserve">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2,3</w:t>
            </w:r>
            <w:r>
              <w:rPr>
                <w:sz w:val="22"/>
                <w:szCs w:val="22"/>
              </w:rPr>
              <w:t xml:space="preserve">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2,5</w:t>
            </w:r>
            <w:r>
              <w:rPr>
                <w:sz w:val="22"/>
                <w:szCs w:val="22"/>
              </w:rPr>
              <w:t xml:space="preserve">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  <w:t xml:space="preserve">,56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84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98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3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88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98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4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98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5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98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Электрокотельная ДТВ ОАО «РЖД»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98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Электрокотельная ПС-500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985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муниципальному образованию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5,32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5,47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6,03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6,03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7,76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7,76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7,76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ind w:firstLine="709"/>
        <w:jc w:val="both"/>
        <w:widowControl w:val="off"/>
      </w:pP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  <w:r/>
    </w:p>
    <w:p>
      <w:pPr>
        <w:ind w:firstLine="709"/>
        <w:jc w:val="both"/>
        <w:widowControl w:val="off"/>
        <w:rPr>
          <w:highlight w:val="none"/>
          <w:shd w:val="clear" w:color="auto" w:fill="ffffff"/>
        </w:rPr>
      </w:pPr>
      <w:r>
        <w:rPr>
          <w:shd w:val="clear" w:color="auto" w:fill="ffffff"/>
        </w:rPr>
        <w:t xml:space="preserve">В соответствии с постановлением Правительства Российской</w:t>
      </w:r>
      <w:r>
        <w:rPr>
          <w:shd w:val="clear" w:color="auto" w:fill="ffffff"/>
        </w:rPr>
        <w:t xml:space="preserve"> Федерации от 22 февраля 2012 года №154</w:t>
      </w:r>
      <w:r>
        <w:rPr>
          <w:shd w:val="clear" w:color="auto" w:fill="ffffff"/>
        </w:rPr>
        <w:t xml:space="preserve"> «О требованиях к схемам теплоснабжения, порядку их разработки и утверждения», мощность источника тепловой энергии нетто - величина, равная располагаемой мощности источника тепловой энергии за вычетом тепловой нагрузки на собственные и хозяйственные нужды.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Значения существующей и перспективной тепловой мощности нетто </w:t>
      </w:r>
      <w:r>
        <w:rPr>
          <w:rFonts w:eastAsia="Calibri"/>
          <w:lang w:eastAsia="en-US"/>
        </w:rPr>
        <w:t xml:space="preserve">котельных Тайшетского городского поселения</w:t>
      </w:r>
      <w:r>
        <w:rPr>
          <w:shd w:val="clear" w:color="auto" w:fill="ffffff"/>
        </w:rPr>
        <w:t xml:space="preserve"> представлены в Таблице 8.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right"/>
        <w:rPr>
          <w:shd w:val="clear" w:color="auto" w:fill="ffffff"/>
        </w:rPr>
      </w:pPr>
      <w:r>
        <w:rPr>
          <w:shd w:val="clear" w:color="auto" w:fill="ffffff"/>
        </w:rPr>
        <w:t xml:space="preserve">Таблица 8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center"/>
        <w:rPr>
          <w:rFonts w:eastAsia="Calibri"/>
          <w:sz w:val="22"/>
          <w:szCs w:val="22"/>
          <w:lang w:eastAsia="en-US"/>
        </w:rPr>
      </w:pPr>
      <w:r>
        <w:rPr>
          <w:sz w:val="22"/>
          <w:szCs w:val="22"/>
          <w:shd w:val="clear" w:color="auto" w:fill="ffffff"/>
        </w:rPr>
        <w:t xml:space="preserve">Значения существующей и перспективной тепловой мощности нетто </w:t>
      </w:r>
      <w:r>
        <w:rPr>
          <w:rFonts w:eastAsia="Calibri"/>
          <w:sz w:val="22"/>
          <w:szCs w:val="22"/>
          <w:lang w:eastAsia="en-US"/>
        </w:rPr>
        <w:t xml:space="preserve">котельных </w:t>
      </w:r>
      <w:r>
        <w:rPr>
          <w:rFonts w:eastAsia="Calibri"/>
          <w:sz w:val="22"/>
          <w:szCs w:val="22"/>
          <w:lang w:eastAsia="en-US"/>
        </w:rPr>
      </w:r>
      <w:r>
        <w:rPr>
          <w:rFonts w:eastAsia="Calibri"/>
          <w:sz w:val="22"/>
          <w:szCs w:val="22"/>
          <w:lang w:eastAsia="en-US"/>
        </w:rPr>
      </w:r>
    </w:p>
    <w:p>
      <w:pPr>
        <w:jc w:val="center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Тайшетского городского поселения</w:t>
      </w:r>
      <w:r>
        <w:rPr>
          <w:rFonts w:eastAsia="Calibri"/>
          <w:sz w:val="22"/>
          <w:szCs w:val="22"/>
          <w:lang w:eastAsia="en-US"/>
        </w:rPr>
      </w:r>
      <w:r>
        <w:rPr>
          <w:rFonts w:eastAsia="Calibri"/>
          <w:sz w:val="22"/>
          <w:szCs w:val="22"/>
          <w:lang w:eastAsia="en-US"/>
        </w:rPr>
      </w:r>
    </w:p>
    <w:tbl>
      <w:tblPr>
        <w:tblW w:w="1035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842"/>
        <w:gridCol w:w="849"/>
        <w:gridCol w:w="457"/>
        <w:gridCol w:w="396"/>
        <w:gridCol w:w="851"/>
        <w:gridCol w:w="850"/>
        <w:gridCol w:w="851"/>
        <w:gridCol w:w="850"/>
        <w:gridCol w:w="851"/>
        <w:gridCol w:w="850"/>
        <w:gridCol w:w="851"/>
        <w:gridCol w:w="850"/>
        <w:gridCol w:w="11"/>
      </w:tblGrid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1842" w:type="dxa"/>
            <w:vAlign w:val="center"/>
            <w:vMerge w:val="restart"/>
            <w:textDirection w:val="lrTb"/>
            <w:noWrap w:val="false"/>
          </w:tcPr>
          <w:p>
            <w:pPr>
              <w:ind w:left="-108" w:righ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Наименование муниципальной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none" w:color="000000" w:sz="4" w:space="0"/>
            </w:tcBorders>
            <w:tcW w:w="1306" w:type="dxa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0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000000" w:sz="8" w:space="0"/>
            </w:tcBorders>
            <w:tcW w:w="721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Тепловая мощность нетто котельной, Гкал/час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1842" w:type="dxa"/>
            <w:vAlign w:val="center"/>
            <w:vMerge w:val="continue"/>
            <w:textDirection w:val="lrTb"/>
            <w:noWrap w:val="false"/>
          </w:tcPr>
          <w:p>
            <w:pPr>
              <w:ind w:left="-108" w:right="-108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1702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Базовая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000000" w:sz="8" w:space="0"/>
            </w:tcBorders>
            <w:tcW w:w="6815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Перспективная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1842" w:type="dxa"/>
            <w:vAlign w:val="center"/>
            <w:vMerge w:val="continue"/>
            <w:textDirection w:val="lrTb"/>
            <w:noWrap w:val="false"/>
          </w:tcPr>
          <w:p>
            <w:pPr>
              <w:ind w:left="-108" w:right="-108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84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2023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3" w:type="dxa"/>
            <w:vAlign w:val="center"/>
            <w:textDirection w:val="lrTb"/>
            <w:noWrap w:val="false"/>
          </w:tcPr>
          <w:p>
            <w:pPr>
              <w:ind w:righ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2024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2025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2026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2027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2028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2029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</w:t>
            </w:r>
            <w:r>
              <w:rPr>
                <w:bCs/>
                <w:sz w:val="22"/>
                <w:szCs w:val="22"/>
                <w:lang w:val="en-US"/>
              </w:rPr>
              <w:t xml:space="preserve">30</w:t>
            </w:r>
            <w:r>
              <w:rPr>
                <w:bCs/>
                <w:sz w:val="22"/>
                <w:szCs w:val="22"/>
              </w:rPr>
              <w:t xml:space="preserve">-203</w:t>
            </w:r>
            <w:r>
              <w:rPr>
                <w:bCs/>
                <w:sz w:val="22"/>
                <w:szCs w:val="22"/>
                <w:lang w:val="en-US"/>
              </w:rPr>
              <w:t xml:space="preserve">4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</w:t>
            </w:r>
            <w:r>
              <w:rPr>
                <w:bCs/>
                <w:sz w:val="22"/>
                <w:szCs w:val="22"/>
                <w:lang w:val="en-US"/>
              </w:rPr>
              <w:t xml:space="preserve">5</w:t>
            </w:r>
            <w:r>
              <w:rPr>
                <w:bCs/>
                <w:sz w:val="22"/>
                <w:szCs w:val="22"/>
              </w:rPr>
              <w:t xml:space="preserve">-203</w:t>
            </w:r>
            <w:r>
              <w:rPr>
                <w:bCs/>
                <w:sz w:val="22"/>
                <w:szCs w:val="22"/>
                <w:lang w:val="en-US"/>
              </w:rPr>
              <w:t xml:space="preserve">9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textDirection w:val="lrTb"/>
            <w:noWrap w:val="false"/>
          </w:tcPr>
          <w:p>
            <w:pPr>
              <w:ind w:lef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</w:t>
            </w:r>
            <w:r>
              <w:rPr>
                <w:bCs/>
                <w:sz w:val="22"/>
                <w:szCs w:val="22"/>
                <w:lang w:val="en-US"/>
              </w:rPr>
              <w:t xml:space="preserve">40</w:t>
            </w:r>
            <w:r>
              <w:rPr>
                <w:bCs/>
                <w:sz w:val="22"/>
                <w:szCs w:val="22"/>
              </w:rPr>
              <w:t xml:space="preserve">-2041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842" w:type="dxa"/>
            <w:vAlign w:val="center"/>
            <w:textDirection w:val="lrTb"/>
            <w:noWrap w:val="false"/>
          </w:tcPr>
          <w:p>
            <w:pPr>
              <w:ind w:left="-108" w:right="-10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84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32,72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32,</w:t>
            </w:r>
            <w:r>
              <w:rPr>
                <w:sz w:val="22"/>
                <w:szCs w:val="22"/>
              </w:rPr>
              <w:t xml:space="preserve">47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32,</w:t>
            </w:r>
            <w:r>
              <w:rPr>
                <w:sz w:val="22"/>
                <w:szCs w:val="22"/>
              </w:rPr>
              <w:t xml:space="preserve">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31,97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45,82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45,82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</w:t>
            </w: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51,</w:t>
            </w: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51,</w:t>
            </w: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51,</w:t>
            </w: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842" w:type="dxa"/>
            <w:vAlign w:val="center"/>
            <w:textDirection w:val="lrTb"/>
            <w:noWrap w:val="false"/>
          </w:tcPr>
          <w:p>
            <w:pPr>
              <w:ind w:left="-108" w:right="-10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2 (ШПЗ)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84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36,91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36,</w:t>
            </w:r>
            <w:r>
              <w:rPr>
                <w:sz w:val="22"/>
                <w:szCs w:val="22"/>
              </w:rPr>
              <w:t xml:space="preserve">89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36,</w:t>
            </w:r>
            <w:r>
              <w:rPr>
                <w:sz w:val="22"/>
                <w:szCs w:val="22"/>
              </w:rPr>
              <w:t xml:space="preserve">89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36,8</w:t>
            </w: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42,4</w:t>
            </w: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42,4</w:t>
            </w: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42,</w:t>
            </w:r>
            <w:r>
              <w:rPr>
                <w:sz w:val="22"/>
                <w:szCs w:val="22"/>
              </w:rPr>
              <w:t xml:space="preserve">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42,2</w:t>
            </w: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42,2</w:t>
            </w: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42,2</w:t>
            </w: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842" w:type="dxa"/>
            <w:vAlign w:val="center"/>
            <w:textDirection w:val="lrTb"/>
            <w:noWrap w:val="false"/>
          </w:tcPr>
          <w:p>
            <w:pPr>
              <w:ind w:left="-108" w:right="-10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3 (Мелькомбинат)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84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6,98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6,98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6,98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842" w:type="dxa"/>
            <w:vAlign w:val="center"/>
            <w:textDirection w:val="lrTb"/>
            <w:noWrap w:val="false"/>
          </w:tcPr>
          <w:p>
            <w:pPr>
              <w:ind w:left="-108" w:right="-10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4 (Экспедиция 5)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84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1,68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1,68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</w:t>
            </w:r>
            <w:r>
              <w:rPr>
                <w:sz w:val="22"/>
                <w:szCs w:val="22"/>
              </w:rPr>
              <w:t xml:space="preserve">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</w:t>
            </w:r>
            <w:r>
              <w:rPr>
                <w:sz w:val="22"/>
                <w:szCs w:val="22"/>
              </w:rPr>
              <w:t xml:space="preserve">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</w:t>
            </w:r>
            <w:r>
              <w:rPr>
                <w:sz w:val="22"/>
                <w:szCs w:val="22"/>
              </w:rPr>
              <w:t xml:space="preserve">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</w:t>
            </w:r>
            <w:r>
              <w:rPr>
                <w:sz w:val="22"/>
                <w:szCs w:val="22"/>
              </w:rPr>
              <w:t xml:space="preserve">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</w:t>
            </w:r>
            <w:r>
              <w:rPr>
                <w:sz w:val="22"/>
                <w:szCs w:val="22"/>
              </w:rPr>
              <w:t xml:space="preserve">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</w:t>
            </w:r>
            <w:r>
              <w:rPr>
                <w:sz w:val="22"/>
                <w:szCs w:val="22"/>
              </w:rPr>
              <w:t xml:space="preserve">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</w:t>
            </w:r>
            <w:r>
              <w:rPr>
                <w:sz w:val="22"/>
                <w:szCs w:val="22"/>
              </w:rPr>
              <w:t xml:space="preserve">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842" w:type="dxa"/>
            <w:vAlign w:val="center"/>
            <w:textDirection w:val="lrTb"/>
            <w:noWrap w:val="false"/>
          </w:tcPr>
          <w:p>
            <w:pPr>
              <w:ind w:left="-108" w:right="-10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5 (Совхоз)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84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842" w:type="dxa"/>
            <w:vAlign w:val="center"/>
            <w:textDirection w:val="lrTb"/>
            <w:noWrap w:val="false"/>
          </w:tcPr>
          <w:p>
            <w:pPr>
              <w:ind w:left="-108" w:right="-10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Электрокотельная ДТВ ОАО «РЖД»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84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842" w:type="dxa"/>
            <w:vAlign w:val="center"/>
            <w:textDirection w:val="lrTb"/>
            <w:noWrap w:val="false"/>
          </w:tcPr>
          <w:p>
            <w:pPr>
              <w:ind w:left="-108" w:right="-10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Электрокотельная ПС-500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84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6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842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муниципальному образованию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84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90,29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90,</w:t>
            </w:r>
            <w:r>
              <w:rPr>
                <w:sz w:val="22"/>
                <w:szCs w:val="22"/>
              </w:rPr>
              <w:t xml:space="preserve">01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89,99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89,68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109,13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109,13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107,</w:t>
            </w: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  <w:t xml:space="preserve">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114,</w:t>
            </w: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114,</w:t>
            </w: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114,</w:t>
            </w: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ind w:firstLine="709"/>
        <w:jc w:val="both"/>
      </w:pPr>
      <w:r>
        <w:t xml:space="preserve">Значения существующих и перспективных потерь тепловой энергии при ее передаче по тепловым сетям </w:t>
      </w:r>
      <w:r>
        <w:rPr>
          <w:rFonts w:eastAsia="Calibri"/>
          <w:lang w:eastAsia="en-US"/>
        </w:rPr>
        <w:t xml:space="preserve">Тайшетского городского поселения</w:t>
      </w:r>
      <w:r>
        <w:t xml:space="preserve">, включая потери тепловой энергии в тепловых сетях теплопередачей через теплоизоляционные конструкции теплопроводов, представлены в Таблице 9. </w:t>
      </w:r>
      <w:r/>
    </w:p>
    <w:p>
      <w:pPr>
        <w:ind w:firstLine="709"/>
        <w:jc w:val="right"/>
      </w:pPr>
      <w:r>
        <w:t xml:space="preserve"> Таблица 9</w:t>
      </w:r>
      <w:r/>
    </w:p>
    <w:p>
      <w:pPr>
        <w:jc w:val="center"/>
      </w:pPr>
      <w:r>
        <w:t xml:space="preserve">Значения существующих и перспективных потерь тепловой энергии при ее передаче </w:t>
      </w:r>
      <w:r/>
    </w:p>
    <w:p>
      <w:pPr>
        <w:jc w:val="center"/>
        <w:rPr>
          <w:rFonts w:eastAsia="Calibri"/>
          <w:lang w:eastAsia="en-US"/>
        </w:rPr>
      </w:pPr>
      <w:r>
        <w:t xml:space="preserve">по тепловым сетям </w:t>
      </w:r>
      <w:r>
        <w:rPr>
          <w:rFonts w:eastAsia="Calibri"/>
          <w:lang w:eastAsia="en-US"/>
        </w:rPr>
        <w:t xml:space="preserve">Тайшетского городского поселения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tbl>
      <w:tblPr>
        <w:tblW w:w="9782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844"/>
        <w:gridCol w:w="708"/>
        <w:gridCol w:w="709"/>
        <w:gridCol w:w="709"/>
        <w:gridCol w:w="850"/>
        <w:gridCol w:w="709"/>
        <w:gridCol w:w="851"/>
        <w:gridCol w:w="850"/>
        <w:gridCol w:w="851"/>
        <w:gridCol w:w="850"/>
        <w:gridCol w:w="851"/>
      </w:tblGrid>
      <w:tr>
        <w:tblPrEx/>
        <w:trPr>
          <w:trHeight w:val="572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1844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Наименование муниципальной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0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000000" w:sz="8" w:space="0"/>
            </w:tcBorders>
            <w:tcW w:w="7938" w:type="dxa"/>
            <w:textDirection w:val="lrTb"/>
            <w:noWrap w:val="false"/>
          </w:tcPr>
          <w:p>
            <w:pPr>
              <w:ind w:left="-57" w:right="-57"/>
              <w:jc w:val="center"/>
              <w:spacing w:after="20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Потери тепловой энергии при ее передаче по тепловым сетям, Гкал/час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1844" w:type="dxa"/>
            <w:vAlign w:val="center"/>
            <w:vMerge w:val="continue"/>
            <w:textDirection w:val="lrTb"/>
            <w:noWrap w:val="false"/>
          </w:tcPr>
          <w:p>
            <w:pPr>
              <w:ind w:left="-57" w:right="-57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Базовый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000000" w:sz="8" w:space="0"/>
            </w:tcBorders>
            <w:tcW w:w="652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Перспективный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1844" w:type="dxa"/>
            <w:vAlign w:val="center"/>
            <w:vMerge w:val="continue"/>
            <w:textDirection w:val="lrTb"/>
            <w:noWrap w:val="false"/>
          </w:tcPr>
          <w:p>
            <w:pPr>
              <w:ind w:left="-57" w:right="-57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2023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ind w:righ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2024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2025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2026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2027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2028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2029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</w:t>
            </w:r>
            <w:r>
              <w:rPr>
                <w:bCs/>
                <w:sz w:val="22"/>
                <w:szCs w:val="22"/>
                <w:lang w:val="en-US"/>
              </w:rPr>
              <w:t xml:space="preserve">30</w:t>
            </w:r>
            <w:r>
              <w:rPr>
                <w:bCs/>
                <w:sz w:val="22"/>
                <w:szCs w:val="22"/>
              </w:rPr>
              <w:t xml:space="preserve">-203</w:t>
            </w:r>
            <w:r>
              <w:rPr>
                <w:bCs/>
                <w:sz w:val="22"/>
                <w:szCs w:val="22"/>
                <w:lang w:val="en-US"/>
              </w:rPr>
              <w:t xml:space="preserve">4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</w:t>
            </w:r>
            <w:r>
              <w:rPr>
                <w:bCs/>
                <w:sz w:val="22"/>
                <w:szCs w:val="22"/>
                <w:lang w:val="en-US"/>
              </w:rPr>
              <w:t xml:space="preserve">5</w:t>
            </w:r>
            <w:r>
              <w:rPr>
                <w:bCs/>
                <w:sz w:val="22"/>
                <w:szCs w:val="22"/>
              </w:rPr>
              <w:t xml:space="preserve">-203</w:t>
            </w:r>
            <w:r>
              <w:rPr>
                <w:bCs/>
                <w:sz w:val="22"/>
                <w:szCs w:val="22"/>
                <w:lang w:val="en-US"/>
              </w:rPr>
              <w:t xml:space="preserve">9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textDirection w:val="lrTb"/>
            <w:noWrap w:val="false"/>
          </w:tcPr>
          <w:p>
            <w:pPr>
              <w:ind w:lef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</w:t>
            </w:r>
            <w:r>
              <w:rPr>
                <w:bCs/>
                <w:sz w:val="22"/>
                <w:szCs w:val="22"/>
                <w:lang w:val="en-US"/>
              </w:rPr>
              <w:t xml:space="preserve">40</w:t>
            </w:r>
            <w:r>
              <w:rPr>
                <w:bCs/>
                <w:sz w:val="22"/>
                <w:szCs w:val="22"/>
              </w:rPr>
              <w:t xml:space="preserve">-2041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844" w:type="dxa"/>
            <w:vAlign w:val="center"/>
            <w:textDirection w:val="lrTb"/>
            <w:noWrap w:val="false"/>
          </w:tcPr>
          <w:p>
            <w:pPr>
              <w:ind w:left="-57" w:right="-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  <w:lang w:val="en-US"/>
              </w:rPr>
              <w:t xml:space="preserve">0</w:t>
            </w:r>
            <w:r>
              <w:rPr>
                <w:sz w:val="22"/>
                <w:szCs w:val="22"/>
                <w:lang w:val="en-US"/>
              </w:rPr>
            </w:r>
            <w:r>
              <w:rPr>
                <w:sz w:val="22"/>
                <w:szCs w:val="22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 xml:space="preserve">1</w:t>
            </w:r>
            <w:r>
              <w:rPr>
                <w:sz w:val="22"/>
                <w:szCs w:val="22"/>
              </w:rPr>
              <w:t xml:space="preserve">,</w:t>
            </w:r>
            <w:r>
              <w:rPr>
                <w:sz w:val="22"/>
                <w:szCs w:val="22"/>
                <w:lang w:val="en-US"/>
              </w:rPr>
              <w:t xml:space="preserve">91</w:t>
            </w:r>
            <w:r>
              <w:rPr>
                <w:sz w:val="22"/>
                <w:szCs w:val="22"/>
                <w:lang w:val="en-US"/>
              </w:rPr>
            </w:r>
            <w:r>
              <w:rPr>
                <w:sz w:val="22"/>
                <w:szCs w:val="22"/>
                <w:lang w:val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2,03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2,32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2,44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2,52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3,76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3,76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3,76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3,76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844" w:type="dxa"/>
            <w:vAlign w:val="center"/>
            <w:textDirection w:val="lrTb"/>
            <w:noWrap w:val="false"/>
          </w:tcPr>
          <w:p>
            <w:pPr>
              <w:ind w:left="-57" w:right="-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2 (ШПЗ)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2,1</w:t>
            </w:r>
            <w:r>
              <w:rPr>
                <w:sz w:val="22"/>
                <w:szCs w:val="22"/>
                <w:lang w:val="en-US"/>
              </w:rPr>
              <w:t xml:space="preserve">0</w:t>
            </w:r>
            <w:r>
              <w:rPr>
                <w:sz w:val="22"/>
                <w:szCs w:val="22"/>
                <w:lang w:val="en-US"/>
              </w:rPr>
            </w:r>
            <w:r>
              <w:rPr>
                <w:sz w:val="22"/>
                <w:szCs w:val="22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844" w:type="dxa"/>
            <w:vAlign w:val="center"/>
            <w:textDirection w:val="lrTb"/>
            <w:noWrap w:val="false"/>
          </w:tcPr>
          <w:p>
            <w:pPr>
              <w:ind w:left="-57" w:right="-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3 (Мелькомбинат)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844" w:type="dxa"/>
            <w:vAlign w:val="center"/>
            <w:textDirection w:val="lrTb"/>
            <w:noWrap w:val="false"/>
          </w:tcPr>
          <w:p>
            <w:pPr>
              <w:ind w:left="-57" w:right="-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4 (Экспедиция 5)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844" w:type="dxa"/>
            <w:vAlign w:val="center"/>
            <w:textDirection w:val="lrTb"/>
            <w:noWrap w:val="false"/>
          </w:tcPr>
          <w:p>
            <w:pPr>
              <w:ind w:left="-57" w:right="-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5 (Совхоз)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844" w:type="dxa"/>
            <w:vAlign w:val="center"/>
            <w:textDirection w:val="lrTb"/>
            <w:noWrap w:val="false"/>
          </w:tcPr>
          <w:p>
            <w:pPr>
              <w:ind w:left="-57" w:right="-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Электрокотельная ДТВ ОАО «РЖД»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844" w:type="dxa"/>
            <w:vAlign w:val="center"/>
            <w:textDirection w:val="lrTb"/>
            <w:noWrap w:val="false"/>
          </w:tcPr>
          <w:p>
            <w:pPr>
              <w:ind w:left="-57" w:right="-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Электрокотельная ПС-500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84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муниципальному образованию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4,76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5,08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5,20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5,5</w:t>
            </w: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5,6</w:t>
            </w:r>
            <w:r>
              <w:rPr>
                <w:sz w:val="22"/>
                <w:szCs w:val="22"/>
              </w:rPr>
              <w:t xml:space="preserve">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5,75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</w:t>
            </w:r>
            <w:r>
              <w:rPr>
                <w:sz w:val="22"/>
                <w:szCs w:val="22"/>
              </w:rPr>
              <w:t xml:space="preserve">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</w:t>
            </w:r>
            <w:r>
              <w:rPr>
                <w:sz w:val="22"/>
                <w:szCs w:val="22"/>
              </w:rPr>
              <w:t xml:space="preserve">25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</w:t>
            </w:r>
            <w:r>
              <w:rPr>
                <w:sz w:val="22"/>
                <w:szCs w:val="22"/>
              </w:rPr>
              <w:t xml:space="preserve">25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</w:t>
            </w:r>
            <w:r>
              <w:rPr>
                <w:sz w:val="22"/>
                <w:szCs w:val="22"/>
              </w:rPr>
              <w:t xml:space="preserve">25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ind w:firstLine="709"/>
        <w:jc w:val="both"/>
      </w:pPr>
      <w:r>
        <w:rPr>
          <w:highlight w:val="none"/>
        </w:rPr>
      </w:r>
      <w:r>
        <w:rPr>
          <w:highlight w:val="none"/>
        </w:rPr>
      </w:r>
      <w:r/>
    </w:p>
    <w:p>
      <w:pPr>
        <w:ind w:firstLine="709"/>
        <w:jc w:val="both"/>
        <w:rPr>
          <w:highlight w:val="none"/>
        </w:rPr>
      </w:pPr>
      <w:r>
        <w:t xml:space="preserve">Затраты существующей тепловой мощности на хозяйственные нужды теплоснабжающей организации в отношении тепловых сетей </w:t>
      </w:r>
      <w:r>
        <w:rPr>
          <w:rFonts w:eastAsia="Calibri"/>
          <w:lang w:eastAsia="en-US"/>
        </w:rPr>
        <w:t xml:space="preserve">котельных Тайшетского городского поселения</w:t>
      </w:r>
      <w:r>
        <w:t xml:space="preserve"> по состоянию на отчетный (базовый) 202</w:t>
      </w:r>
      <w:r>
        <w:t xml:space="preserve">4</w:t>
      </w:r>
      <w:r>
        <w:t xml:space="preserve"> год равны 5,0</w:t>
      </w:r>
      <w:r>
        <w:t xml:space="preserve">8</w:t>
      </w:r>
      <w:r>
        <w:t xml:space="preserve"> Гкал/год. Затраты тепловой мощности на хозяйственные нужды теплоснабжающей организации в отношении тепловых сетей </w:t>
      </w:r>
      <w:r>
        <w:rPr>
          <w:shd w:val="clear" w:color="auto" w:fill="ffffff"/>
        </w:rPr>
        <w:t xml:space="preserve">муниципальных котельных </w:t>
      </w:r>
      <w:r>
        <w:t xml:space="preserve">на перспективу до 2041 года составят 7,</w:t>
      </w:r>
      <w:r>
        <w:t xml:space="preserve">25</w:t>
      </w:r>
      <w:r>
        <w:t xml:space="preserve"> Гкал/ год.</w:t>
      </w:r>
      <w:r>
        <w:rPr>
          <w:highlight w:val="none"/>
        </w:rPr>
      </w:r>
      <w:r>
        <w:rPr>
          <w:highlight w:val="none"/>
        </w:rPr>
      </w:r>
    </w:p>
    <w:p>
      <w:pPr>
        <w:ind w:firstLine="709"/>
        <w:jc w:val="both"/>
      </w:pPr>
      <w:r>
        <w:t xml:space="preserve">В соответствии с Федеральным законом Российской Федерации от 27 июля 2010 года № 190-ФЗ «О теплоснабжении»,</w:t>
      </w:r>
      <w:r>
        <w:t xml:space="preserve"> резервная тепловая мощность - тепловая мощность источников тепловой энергии и тепловых сетей, необходимая для обеспечения тепловой нагрузки теплопотребляющих установок, входящих в систему теплоснабжения, но не потребляющих тепловой энергии, теплоносителя.</w:t>
      </w:r>
      <w:r/>
    </w:p>
    <w:p>
      <w:pPr>
        <w:ind w:firstLine="709"/>
        <w:jc w:val="both"/>
      </w:pPr>
      <w:r>
        <w:t xml:space="preserve">Значения существующей и перспективной резервной тепловой мощности </w:t>
      </w:r>
      <w:r>
        <w:rPr>
          <w:rFonts w:eastAsia="Calibri"/>
          <w:lang w:eastAsia="en-US"/>
        </w:rPr>
        <w:t xml:space="preserve">котельных Тайшетского городского поселения</w:t>
      </w:r>
      <w:r>
        <w:t xml:space="preserve">, в том </w:t>
      </w:r>
      <w:r>
        <w:t xml:space="preserve">числе источников тепловой энергии, принадлежащих потребителям, и источников тепловой энергии теплоснабжающих организаций, с выделением значений аварийного резерва и резерва по договорам на поддержание резервной тепловой мощности представлены в Таблице 10. </w:t>
      </w:r>
      <w:r/>
    </w:p>
    <w:p>
      <w:pPr>
        <w:ind w:firstLine="709"/>
        <w:jc w:val="both"/>
      </w:pPr>
      <w:r>
        <w:t xml:space="preserve">Значения существующей и перспективной тепловой нагрузки потребителей </w:t>
      </w:r>
      <w:r>
        <w:rPr>
          <w:rFonts w:eastAsia="Calibri"/>
          <w:lang w:eastAsia="en-US"/>
        </w:rPr>
        <w:t xml:space="preserve">котельных Тайшетского городского поселения</w:t>
      </w:r>
      <w:r>
        <w:t xml:space="preserve">, устанавливаемые с учетом расчетной тепловой нагрузки, представлены в Таблице 11.</w:t>
      </w:r>
      <w:bookmarkStart w:id="7" w:name="_Toc149054964"/>
      <w:r/>
      <w:r/>
    </w:p>
    <w:p>
      <w:pPr>
        <w:ind w:firstLine="709"/>
        <w:jc w:val="both"/>
        <w:rPr>
          <w:bCs/>
          <w:i/>
        </w:rPr>
      </w:pPr>
      <w:r>
        <w:rPr>
          <w:bCs/>
        </w:rPr>
        <w:t xml:space="preserve">2.4. Перспективные балансы те</w:t>
      </w:r>
      <w:r>
        <w:rPr>
          <w:bCs/>
        </w:rPr>
        <w:t xml:space="preserve">пловой мощности источников тепловой энергии и тепловой нагрузки потребителей в случае, если зона действия источника тепловой энергии расположена в границах двух или более поселений, с указанием величины тепловой нагрузки для потребителей каждого поселения.</w:t>
      </w:r>
      <w:bookmarkEnd w:id="7"/>
      <w:r>
        <w:rPr>
          <w:bCs/>
          <w:i/>
        </w:rPr>
      </w:r>
      <w:r>
        <w:rPr>
          <w:bCs/>
          <w:i/>
        </w:rPr>
      </w:r>
    </w:p>
    <w:p>
      <w:pPr>
        <w:ind w:firstLine="709"/>
        <w:jc w:val="both"/>
        <w:widowControl w:val="off"/>
        <w:rPr>
          <w:shd w:val="clear" w:color="auto" w:fill="ffffff"/>
        </w:rPr>
      </w:pPr>
      <w:r>
        <w:rPr>
          <w:shd w:val="clear" w:color="auto" w:fill="ffffff"/>
        </w:rPr>
        <w:t xml:space="preserve">Источником тепловой энергии с зонами действия, расположенными в границах </w:t>
      </w:r>
      <w:r>
        <w:rPr>
          <w:shd w:val="clear" w:color="auto" w:fill="ffffff"/>
        </w:rPr>
        <w:t xml:space="preserve">двух поселений, в том числе в городе Тайшет и селе Старый-Акульшет, является котельная №1 </w:t>
      </w:r>
      <w:r>
        <w:t xml:space="preserve">(ТКСИ)</w:t>
      </w:r>
      <w:r>
        <w:rPr>
          <w:shd w:val="clear" w:color="auto" w:fill="ffffff"/>
        </w:rPr>
        <w:t xml:space="preserve">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widowControl w:val="off"/>
        <w:rPr>
          <w:bCs/>
        </w:rPr>
      </w:pPr>
      <w:r>
        <w:rPr>
          <w:shd w:val="clear" w:color="auto" w:fill="ffffff"/>
        </w:rPr>
        <w:t xml:space="preserve">На </w:t>
      </w:r>
      <w:r>
        <w:rPr>
          <w:shd w:val="clear" w:color="auto" w:fill="ffffff"/>
        </w:rPr>
        <w:t xml:space="preserve">перспективу зоны действия </w:t>
      </w:r>
      <w:r>
        <w:rPr>
          <w:rFonts w:eastAsia="Calibri"/>
          <w:lang w:eastAsia="en-US"/>
        </w:rPr>
        <w:t xml:space="preserve">муниципальных котельных города</w:t>
      </w:r>
      <w:r>
        <w:rPr>
          <w:shd w:val="clear" w:color="auto" w:fill="ffffff"/>
        </w:rPr>
        <w:t xml:space="preserve"> сохранятся в пределах границ территории Тайшетского городского поселения и незначительный объем тепловой энергии будет поставляться котельной № 1 </w:t>
      </w:r>
      <w:r>
        <w:t xml:space="preserve">(ТКСИ)</w:t>
      </w:r>
      <w:r>
        <w:rPr>
          <w:shd w:val="clear" w:color="auto" w:fill="ffffff"/>
        </w:rPr>
        <w:t xml:space="preserve"> на объекты, расположенные в границах </w:t>
      </w:r>
      <w:r>
        <w:rPr>
          <w:rFonts w:eastAsia="Calibri"/>
          <w:lang w:eastAsia="en-US"/>
        </w:rPr>
        <w:t xml:space="preserve">Старо-Акульшетского муниципального образования</w:t>
      </w:r>
      <w:r>
        <w:rPr>
          <w:rFonts w:eastAsiaTheme="minorHAnsi"/>
          <w:lang w:eastAsia="en-US"/>
        </w:rPr>
        <w:t xml:space="preserve">.</w:t>
      </w:r>
      <w:r>
        <w:rPr>
          <w:shd w:val="clear" w:color="auto" w:fill="ffffff"/>
        </w:rPr>
        <w:t xml:space="preserve"> В</w:t>
      </w:r>
      <w:r>
        <w:rPr>
          <w:bCs/>
        </w:rPr>
        <w:t xml:space="preserve">еличины тепловой нагрузки для потребителей каждого из двух поселений на перспективу составляет:</w:t>
      </w:r>
      <w:r>
        <w:rPr>
          <w:bCs/>
        </w:rPr>
      </w:r>
      <w:r>
        <w:rPr>
          <w:bCs/>
        </w:rPr>
      </w:r>
    </w:p>
    <w:p>
      <w:pPr>
        <w:ind w:firstLine="709"/>
        <w:jc w:val="both"/>
        <w:widowControl w:val="off"/>
        <w:rPr>
          <w:bCs/>
        </w:rPr>
      </w:pPr>
      <w:r>
        <w:rPr>
          <w:bCs/>
        </w:rPr>
        <w:t xml:space="preserve">для города Тайшет – 83,</w:t>
      </w:r>
      <w:r>
        <w:rPr>
          <w:bCs/>
        </w:rPr>
        <w:t xml:space="preserve">96</w:t>
      </w:r>
      <w:r>
        <w:rPr>
          <w:bCs/>
        </w:rPr>
        <w:t xml:space="preserve"> Гкал/ч;</w:t>
      </w:r>
      <w:r>
        <w:rPr>
          <w:bCs/>
        </w:rPr>
      </w:r>
      <w:r>
        <w:rPr>
          <w:bCs/>
        </w:rPr>
      </w:r>
    </w:p>
    <w:p>
      <w:pPr>
        <w:ind w:firstLine="709"/>
        <w:jc w:val="both"/>
        <w:widowControl w:val="off"/>
        <w:rPr>
          <w:bCs/>
        </w:rPr>
      </w:pPr>
      <w:r>
        <w:rPr>
          <w:bCs/>
        </w:rPr>
        <w:t xml:space="preserve">для села Старый – Акульшет – 15,06 Гкал/ч.</w:t>
      </w:r>
      <w:r>
        <w:rPr>
          <w:bCs/>
        </w:rPr>
      </w:r>
      <w:r>
        <w:rPr>
          <w:bCs/>
        </w:rPr>
      </w:r>
    </w:p>
    <w:p>
      <w:pPr>
        <w:ind w:firstLine="709"/>
        <w:jc w:val="both"/>
        <w:widowControl w:val="off"/>
        <w:rPr>
          <w:bCs/>
        </w:rPr>
      </w:pPr>
      <w:r>
        <w:rPr>
          <w:bCs/>
        </w:rPr>
      </w:r>
      <w:r>
        <w:rPr>
          <w:bCs/>
        </w:rPr>
      </w:r>
      <w:r>
        <w:rPr>
          <w:bCs/>
        </w:rPr>
      </w:r>
    </w:p>
    <w:p>
      <w:pPr>
        <w:ind w:firstLine="709"/>
        <w:jc w:val="both"/>
        <w:widowControl w:val="off"/>
        <w:rPr>
          <w:bCs/>
        </w:rPr>
        <w:sectPr>
          <w:footnotePr/>
          <w:endnotePr/>
          <w:type w:val="nextPage"/>
          <w:pgSz w:w="11906" w:h="16838" w:orient="portrait"/>
          <w:pgMar w:top="1134" w:right="851" w:bottom="1021" w:left="1701" w:header="340" w:footer="0" w:gutter="0"/>
          <w:cols w:num="1" w:sep="0" w:space="708" w:equalWidth="1"/>
          <w:docGrid w:linePitch="360"/>
          <w:titlePg/>
        </w:sectPr>
      </w:pPr>
      <w:r>
        <w:rPr>
          <w:bCs/>
        </w:rPr>
      </w:r>
      <w:r>
        <w:rPr>
          <w:bCs/>
        </w:rPr>
      </w:r>
      <w:r>
        <w:rPr>
          <w:bCs/>
        </w:rPr>
      </w:r>
    </w:p>
    <w:p>
      <w:pPr>
        <w:jc w:val="right"/>
      </w:pPr>
      <w:r>
        <w:t xml:space="preserve">Таблица 10</w:t>
      </w:r>
      <w:r/>
    </w:p>
    <w:p>
      <w:pPr>
        <w:jc w:val="center"/>
        <w:rPr>
          <w:rFonts w:eastAsia="Calibri"/>
          <w:sz w:val="22"/>
          <w:szCs w:val="22"/>
          <w:lang w:eastAsia="en-US"/>
        </w:rPr>
      </w:pPr>
      <w:r>
        <w:rPr>
          <w:sz w:val="22"/>
          <w:szCs w:val="22"/>
        </w:rPr>
        <w:t xml:space="preserve">Значения существующей и </w:t>
      </w:r>
      <w:r>
        <w:rPr>
          <w:sz w:val="22"/>
          <w:szCs w:val="22"/>
        </w:rPr>
        <w:t xml:space="preserve">перспективной резервной тепловой мощности </w:t>
      </w:r>
      <w:r>
        <w:rPr>
          <w:rFonts w:eastAsia="Calibri"/>
          <w:sz w:val="22"/>
          <w:szCs w:val="22"/>
          <w:lang w:eastAsia="en-US"/>
        </w:rPr>
        <w:t xml:space="preserve">котельных Тайшетского городского поселения</w:t>
      </w:r>
      <w:r>
        <w:rPr>
          <w:rFonts w:eastAsia="Calibri"/>
          <w:sz w:val="22"/>
          <w:szCs w:val="22"/>
          <w:lang w:eastAsia="en-US"/>
        </w:rPr>
      </w:r>
      <w:r>
        <w:rPr>
          <w:rFonts w:eastAsia="Calibri"/>
          <w:sz w:val="22"/>
          <w:szCs w:val="22"/>
          <w:lang w:eastAsia="en-US"/>
        </w:rPr>
      </w:r>
    </w:p>
    <w:tbl>
      <w:tblPr>
        <w:tblW w:w="5022" w:type="pct"/>
        <w:tblLayout w:type="fixed"/>
        <w:tblLook w:val="04A0" w:firstRow="1" w:lastRow="0" w:firstColumn="1" w:lastColumn="0" w:noHBand="0" w:noVBand="1"/>
      </w:tblPr>
      <w:tblGrid>
        <w:gridCol w:w="4875"/>
        <w:gridCol w:w="240"/>
        <w:gridCol w:w="629"/>
        <w:gridCol w:w="870"/>
        <w:gridCol w:w="870"/>
        <w:gridCol w:w="1012"/>
        <w:gridCol w:w="1012"/>
        <w:gridCol w:w="1012"/>
        <w:gridCol w:w="1012"/>
        <w:gridCol w:w="1298"/>
        <w:gridCol w:w="1301"/>
        <w:gridCol w:w="1289"/>
      </w:tblGrid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1581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Наименование муниципальной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none" w:color="000000" w:sz="4" w:space="0"/>
            </w:tcBorders>
            <w:tcW w:w="78" w:type="pc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0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000000" w:sz="8" w:space="0"/>
            </w:tcBorders>
            <w:tcW w:w="3341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Резервная тепловая мощность котельной, Гкал/час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88"/>
        </w:trPr>
        <w:tc>
          <w:tcPr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1581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564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Базовая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000000" w:sz="8" w:space="0"/>
            </w:tcBorders>
            <w:tcW w:w="2855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Перспективная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1581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2023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ind w:righ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2024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2025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2026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2027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2028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2029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1" w:type="pct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</w:t>
            </w:r>
            <w:r>
              <w:rPr>
                <w:bCs/>
                <w:sz w:val="22"/>
                <w:szCs w:val="22"/>
                <w:lang w:val="en-US"/>
              </w:rPr>
              <w:t xml:space="preserve">30</w:t>
            </w:r>
            <w:r>
              <w:rPr>
                <w:bCs/>
                <w:sz w:val="22"/>
                <w:szCs w:val="22"/>
              </w:rPr>
              <w:t xml:space="preserve">-203</w:t>
            </w:r>
            <w:r>
              <w:rPr>
                <w:bCs/>
                <w:sz w:val="22"/>
                <w:szCs w:val="22"/>
                <w:lang w:val="en-US"/>
              </w:rPr>
              <w:t xml:space="preserve">4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2" w:type="pct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</w:t>
            </w:r>
            <w:r>
              <w:rPr>
                <w:bCs/>
                <w:sz w:val="22"/>
                <w:szCs w:val="22"/>
                <w:lang w:val="en-US"/>
              </w:rPr>
              <w:t xml:space="preserve">5</w:t>
            </w:r>
            <w:r>
              <w:rPr>
                <w:bCs/>
                <w:sz w:val="22"/>
                <w:szCs w:val="22"/>
              </w:rPr>
              <w:t xml:space="preserve">-203</w:t>
            </w:r>
            <w:r>
              <w:rPr>
                <w:bCs/>
                <w:sz w:val="22"/>
                <w:szCs w:val="22"/>
                <w:lang w:val="en-US"/>
              </w:rPr>
              <w:t xml:space="preserve">9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8" w:type="pct"/>
            <w:textDirection w:val="lrTb"/>
            <w:noWrap w:val="false"/>
          </w:tcPr>
          <w:p>
            <w:pPr>
              <w:ind w:lef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</w:t>
            </w:r>
            <w:r>
              <w:rPr>
                <w:bCs/>
                <w:sz w:val="22"/>
                <w:szCs w:val="22"/>
                <w:lang w:val="en-US"/>
              </w:rPr>
              <w:t xml:space="preserve">40</w:t>
            </w:r>
            <w:r>
              <w:rPr>
                <w:bCs/>
                <w:sz w:val="22"/>
                <w:szCs w:val="22"/>
              </w:rPr>
              <w:t xml:space="preserve">-2041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58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9,30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-0,29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11,82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10,80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-8,0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1" w:type="pct"/>
            <w:textDirection w:val="lrTb"/>
            <w:noWrap w:val="false"/>
          </w:tcPr>
          <w:p>
            <w:pPr>
              <w:jc w:val="center"/>
            </w:pPr>
            <w:r>
              <w:rPr>
                <w:sz w:val="22"/>
                <w:szCs w:val="22"/>
              </w:rPr>
              <w:t xml:space="preserve">-8,0</w:t>
            </w:r>
            <w:r/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2" w:type="pct"/>
            <w:textDirection w:val="lrTb"/>
            <w:noWrap w:val="false"/>
          </w:tcPr>
          <w:p>
            <w:pPr>
              <w:jc w:val="center"/>
            </w:pPr>
            <w:r>
              <w:rPr>
                <w:sz w:val="22"/>
                <w:szCs w:val="22"/>
              </w:rPr>
              <w:t xml:space="preserve">-8,0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8" w:type="pct"/>
            <w:textDirection w:val="lrTb"/>
            <w:noWrap w:val="false"/>
          </w:tcPr>
          <w:p>
            <w:pPr>
              <w:jc w:val="center"/>
            </w:pPr>
            <w:r>
              <w:rPr>
                <w:sz w:val="22"/>
                <w:szCs w:val="22"/>
              </w:rPr>
              <w:t xml:space="preserve">-8,0</w:t>
            </w:r>
            <w:r/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58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2 (ШПЗ)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1,07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1" w:type="pct"/>
            <w:textDirection w:val="lrTb"/>
            <w:noWrap w:val="false"/>
          </w:tcPr>
          <w:p>
            <w:pPr>
              <w:jc w:val="center"/>
            </w:pPr>
            <w:r>
              <w:rPr>
                <w:sz w:val="22"/>
                <w:szCs w:val="22"/>
              </w:rPr>
              <w:t xml:space="preserve">2,0</w:t>
            </w:r>
            <w:r/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2" w:type="pct"/>
            <w:textDirection w:val="lrTb"/>
            <w:noWrap w:val="false"/>
          </w:tcPr>
          <w:p>
            <w:pPr>
              <w:jc w:val="center"/>
            </w:pPr>
            <w:r>
              <w:rPr>
                <w:sz w:val="22"/>
                <w:szCs w:val="22"/>
              </w:rPr>
              <w:t xml:space="preserve">2,0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8" w:type="pct"/>
            <w:textDirection w:val="lrTb"/>
            <w:noWrap w:val="false"/>
          </w:tcPr>
          <w:p>
            <w:pPr>
              <w:jc w:val="center"/>
            </w:pPr>
            <w:r>
              <w:rPr>
                <w:sz w:val="22"/>
                <w:szCs w:val="22"/>
              </w:rPr>
              <w:t xml:space="preserve">2,0</w:t>
            </w:r>
            <w:r/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58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3 (Мелькомбинат)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58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4 (Экспедиция 5)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textDirection w:val="lrTb"/>
            <w:noWrap w:val="false"/>
          </w:tcPr>
          <w:p>
            <w:pPr>
              <w:jc w:val="center"/>
            </w:pPr>
            <w:r>
              <w:rPr>
                <w:sz w:val="22"/>
                <w:szCs w:val="22"/>
              </w:rPr>
              <w:t xml:space="preserve">0,36</w:t>
            </w:r>
            <w:r/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textDirection w:val="lrTb"/>
            <w:noWrap w:val="false"/>
          </w:tcPr>
          <w:p>
            <w:pPr>
              <w:jc w:val="center"/>
            </w:pPr>
            <w:r>
              <w:rPr>
                <w:sz w:val="22"/>
                <w:szCs w:val="22"/>
              </w:rPr>
              <w:t xml:space="preserve">0,36</w:t>
            </w:r>
            <w:r/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textDirection w:val="lrTb"/>
            <w:noWrap w:val="false"/>
          </w:tcPr>
          <w:p>
            <w:pPr>
              <w:jc w:val="center"/>
            </w:pPr>
            <w:r>
              <w:rPr>
                <w:sz w:val="22"/>
                <w:szCs w:val="22"/>
              </w:rPr>
              <w:t xml:space="preserve">0,36</w:t>
            </w:r>
            <w:r/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textDirection w:val="lrTb"/>
            <w:noWrap w:val="false"/>
          </w:tcPr>
          <w:p>
            <w:pPr>
              <w:jc w:val="center"/>
            </w:pPr>
            <w:r>
              <w:rPr>
                <w:sz w:val="22"/>
                <w:szCs w:val="22"/>
              </w:rPr>
              <w:t xml:space="preserve">0,36</w:t>
            </w:r>
            <w:r/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1" w:type="pct"/>
            <w:textDirection w:val="lrTb"/>
            <w:noWrap w:val="false"/>
          </w:tcPr>
          <w:p>
            <w:pPr>
              <w:jc w:val="center"/>
            </w:pPr>
            <w:r>
              <w:rPr>
                <w:sz w:val="22"/>
                <w:szCs w:val="22"/>
              </w:rPr>
              <w:t xml:space="preserve">0,36</w:t>
            </w:r>
            <w:r/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2" w:type="pct"/>
            <w:textDirection w:val="lrTb"/>
            <w:noWrap w:val="false"/>
          </w:tcPr>
          <w:p>
            <w:pPr>
              <w:jc w:val="center"/>
            </w:pPr>
            <w:r>
              <w:rPr>
                <w:sz w:val="22"/>
                <w:szCs w:val="22"/>
              </w:rPr>
              <w:t xml:space="preserve">0,36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8" w:type="pct"/>
            <w:textDirection w:val="lrTb"/>
            <w:noWrap w:val="false"/>
          </w:tcPr>
          <w:p>
            <w:pPr>
              <w:jc w:val="center"/>
            </w:pPr>
            <w:r>
              <w:rPr>
                <w:sz w:val="22"/>
                <w:szCs w:val="22"/>
              </w:rPr>
              <w:t xml:space="preserve">0,36</w:t>
            </w:r>
            <w:r/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58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5 (Совхоз)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58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Электрокотельная ДТВ ОАО «РЖД»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58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Электрокотельная ПС-500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12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581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муниципальному образованию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19,</w:t>
            </w:r>
            <w:r>
              <w:rPr>
                <w:sz w:val="22"/>
                <w:szCs w:val="22"/>
              </w:rPr>
              <w:t xml:space="preserve">30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13,91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8,55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25,89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24,75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jc w:val="right"/>
      </w:pPr>
      <w:r>
        <w:t xml:space="preserve">Таблица 11</w:t>
      </w:r>
      <w:r/>
    </w:p>
    <w:p>
      <w:pPr>
        <w:jc w:val="center"/>
      </w:pPr>
      <w:r>
        <w:t xml:space="preserve">Значения существующей и перспективной тепловой нагрузки потребителей </w:t>
      </w:r>
      <w:r>
        <w:rPr>
          <w:rFonts w:eastAsia="Calibri"/>
          <w:lang w:eastAsia="en-US"/>
        </w:rPr>
        <w:t xml:space="preserve">котельных Тайшетского городского поселения</w:t>
      </w:r>
      <w:r>
        <w:t xml:space="preserve">, </w:t>
      </w:r>
      <w:r/>
    </w:p>
    <w:p>
      <w:pPr>
        <w:jc w:val="center"/>
      </w:pPr>
      <w:r>
        <w:t xml:space="preserve">устанавливаемые с учетом расчетной тепловой нагрузки</w:t>
      </w:r>
      <w:r/>
    </w:p>
    <w:tbl>
      <w:tblPr>
        <w:tblW w:w="5000" w:type="pct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Look w:val="04A0" w:firstRow="1" w:lastRow="0" w:firstColumn="1" w:lastColumn="0" w:noHBand="0" w:noVBand="1"/>
      </w:tblPr>
      <w:tblGrid>
        <w:gridCol w:w="4876"/>
        <w:gridCol w:w="1158"/>
        <w:gridCol w:w="1010"/>
        <w:gridCol w:w="1007"/>
        <w:gridCol w:w="866"/>
        <w:gridCol w:w="866"/>
        <w:gridCol w:w="1010"/>
        <w:gridCol w:w="887"/>
        <w:gridCol w:w="1293"/>
        <w:gridCol w:w="1197"/>
        <w:gridCol w:w="1182"/>
      </w:tblGrid>
      <w:tr>
        <w:tblPrEx/>
        <w:trPr>
          <w:trHeight w:val="340" w:hRule="exact"/>
        </w:trPr>
        <w:tc>
          <w:tcPr>
            <w:shd w:val="clear" w:color="auto" w:fill="auto"/>
            <w:tcW w:w="1588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Наименование муниципальной котельной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41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Тепловая нагрузка потребителей котельной, Гкал/час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340" w:hRule="exact"/>
        </w:trPr>
        <w:tc>
          <w:tcPr>
            <w:tcW w:w="1588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Borders>
              <w:right w:val="single" w:color="auto" w:sz="4" w:space="0"/>
            </w:tcBorders>
            <w:tcW w:w="706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Базовая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8"/>
            <w:shd w:val="clear" w:color="auto" w:fill="auto"/>
            <w:tcBorders>
              <w:left w:val="single" w:color="auto" w:sz="4" w:space="0"/>
            </w:tcBorders>
            <w:tcW w:w="2706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Перспективная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56"/>
        </w:trPr>
        <w:tc>
          <w:tcPr>
            <w:tcW w:w="1588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2030-2031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9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2035-2039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2040-2041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 w:hRule="exact"/>
        </w:trPr>
        <w:tc>
          <w:tcPr>
            <w:shd w:val="clear" w:color="auto" w:fill="auto"/>
            <w:tcW w:w="15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№1 (ТКСИ)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21,94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24,65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26,24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29,94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31,56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9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40" w:hRule="exact"/>
        </w:trPr>
        <w:tc>
          <w:tcPr>
            <w:shd w:val="clear" w:color="auto" w:fill="auto"/>
            <w:tcW w:w="15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в т.ч. г. Тайшет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21,85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24,56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26,15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29,03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29,21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29,78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33,52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33,52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9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33,52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33,52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40" w:hRule="exact"/>
        </w:trPr>
        <w:tc>
          <w:tcPr>
            <w:shd w:val="clear" w:color="auto" w:fill="auto"/>
            <w:tcW w:w="15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в т.ч. с. Старый-Акульшет 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2,72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9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40" w:hRule="exact"/>
        </w:trPr>
        <w:tc>
          <w:tcPr>
            <w:shd w:val="clear" w:color="auto" w:fill="auto"/>
            <w:tcW w:w="15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 2 (ШПЗ)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33,39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33,72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34,62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34,99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37,88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37,88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9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37,88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37,88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40" w:hRule="exact"/>
        </w:trPr>
        <w:tc>
          <w:tcPr>
            <w:shd w:val="clear" w:color="auto" w:fill="auto"/>
            <w:tcW w:w="15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 3 (Мелькомбинат)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9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40" w:hRule="exact"/>
        </w:trPr>
        <w:tc>
          <w:tcPr>
            <w:shd w:val="clear" w:color="auto" w:fill="auto"/>
            <w:tcW w:w="15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 4 (Экспедиция 5)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9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40" w:hRule="exact"/>
        </w:trPr>
        <w:tc>
          <w:tcPr>
            <w:shd w:val="clear" w:color="auto" w:fill="auto"/>
            <w:tcW w:w="15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 5 (Совхоз)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9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40" w:hRule="exact"/>
        </w:trPr>
        <w:tc>
          <w:tcPr>
            <w:shd w:val="clear" w:color="auto" w:fill="auto"/>
            <w:tcW w:w="15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Электрокотельная ДТВ ОАО «РЖД»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9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40" w:hRule="exact"/>
        </w:trPr>
        <w:tc>
          <w:tcPr>
            <w:shd w:val="clear" w:color="auto" w:fill="auto"/>
            <w:tcW w:w="15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Электрокотельная ПС-500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9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40" w:hRule="exact"/>
        </w:trPr>
        <w:tc>
          <w:tcPr>
            <w:shd w:val="clear" w:color="auto" w:fill="auto"/>
            <w:tcW w:w="15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Итого по муниципальному образованию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37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64,95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66,35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32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69,14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74,15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2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84,27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9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91,23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2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98,93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9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98,93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98,93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jc w:val="center"/>
        <w:sectPr>
          <w:footnotePr/>
          <w:endnotePr/>
          <w:type w:val="nextPage"/>
          <w:pgSz w:w="16838" w:h="11906" w:orient="landscape"/>
          <w:pgMar w:top="709" w:right="851" w:bottom="851" w:left="851" w:header="340" w:footer="0" w:gutter="0"/>
          <w:cols w:num="1" w:sep="0" w:space="708" w:equalWidth="1"/>
          <w:docGrid w:linePitch="360"/>
          <w:titlePg/>
        </w:sectPr>
      </w:pPr>
      <w:r/>
      <w:r/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  <w:outlineLvl w:val="2"/>
      </w:pPr>
      <w:r/>
      <w:bookmarkStart w:id="8" w:name="_Toc149054965"/>
      <w:r/>
      <w:bookmarkStart w:id="9" w:name="_Toc149054966"/>
      <w:r>
        <w:rPr>
          <w:bCs/>
          <w:shd w:val="clear" w:color="auto" w:fill="ffffff"/>
        </w:rPr>
        <w:t xml:space="preserve">2.5. Радиус эффективного теплоснабжения, определяемый в соответствии с </w:t>
      </w:r>
      <w:r>
        <w:rPr>
          <w:bCs/>
        </w:rPr>
        <w:t xml:space="preserve">методическими указаниями</w:t>
      </w:r>
      <w:r>
        <w:rPr>
          <w:bCs/>
          <w:shd w:val="clear" w:color="auto" w:fill="ffffff"/>
        </w:rPr>
        <w:t xml:space="preserve"> по разработке схем теплоснабжения</w:t>
      </w:r>
      <w:bookmarkEnd w:id="8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В соответствии с Приказом Мини</w:t>
      </w:r>
      <w:r>
        <w:rPr>
          <w:rFonts w:eastAsia="Calibri"/>
          <w:lang w:eastAsia="en-US"/>
        </w:rPr>
        <w:t xml:space="preserve">стерства энергетики Российской Федерации от 5 марта 2019 года № 212 «Об утверждении Методических указаний по разработке схем теплоснабжения», радиус эффективного теплоснабжения - максимальное расстояние от теплопотребляющей установки до ближайшего источник</w:t>
      </w:r>
      <w:r>
        <w:rPr>
          <w:rFonts w:eastAsia="Calibri"/>
          <w:lang w:eastAsia="en-US"/>
        </w:rPr>
        <w:t xml:space="preserve">а тепловой энергии в системе теплоснабжения, при превышении которого подключение (технологическое присоединение) теплопотребляющей установки к данной системе теплоснабжения нецелесообразно по причине увеличения совокупных расходов в системе теплоснабжения.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Основные критерии оценки целесообразности подключения новых потребителей в зоне действия системы централизованного теплоснабжения муниципального образования: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Финансовые затраты на строительство новых участков тепловой сети и реконструкции существующих;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Пропускная способность существующих тепловых сетей муниципального образования;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Затраты на перекачку теплоносителя в тепловых сетях муниципального образования;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Потери тепловой энергии в тепловых сетях при передаче тепловой энергии;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Надежность системы теплоснабжения муниципального образования.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widowControl w:val="off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Комплексная оценка вышеперечисленных факторов, определяет величину радиуса эффективного теплоснабжения источников тепловой энергии муниципального образования.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widowControl w:val="off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Радиусы эффективного теплоснабжения котельных Тайшетского городского поселения представлены в Таблице 12.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right"/>
        <w:widowControl w:val="off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Таблица 12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center"/>
        <w:widowControl w:val="off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Радиусы эффективного теплоснабжения котельных Тайшетского городского поселения 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tbl>
      <w:tblPr>
        <w:tblW w:w="9356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4960"/>
        <w:gridCol w:w="4396"/>
      </w:tblGrid>
      <w:tr>
        <w:tblPrEx/>
        <w:trPr/>
        <w:tc>
          <w:tcPr>
            <w:tcW w:w="496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Наименование муниципальной котельной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tcW w:w="439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Радиус эффективного теплоснабжения, км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4960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Котельная №1 (ТКСИ)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tcW w:w="4396" w:type="dxa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2,914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4960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Котельная №2 (ШПЗ)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tcW w:w="4396" w:type="dxa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2,242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4960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Котельная №3 (Мелькомбинат)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tcW w:w="4396" w:type="dxa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3,070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4960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Котельная №4 (Экспедиция 5)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tcW w:w="4396" w:type="dxa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4,169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4960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Котельная №5 (Совхоз)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tcW w:w="4396" w:type="dxa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1,658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4960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Электрокотельная ДТВ ОАО «РЖД»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396" w:type="dxa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1,23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4960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Электрокотельная ПС-500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396" w:type="dxa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1,12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</w:tbl>
    <w:p>
      <w:pPr>
        <w:contextualSpacing/>
        <w:jc w:val="center"/>
        <w:keepLines/>
        <w:keepNext/>
        <w:spacing w:after="120"/>
        <w:widowControl w:val="off"/>
        <w:rPr>
          <w:bCs/>
          <w:caps/>
          <w:szCs w:val="26"/>
        </w:rPr>
      </w:pPr>
      <w:r>
        <w:rPr>
          <w:bCs/>
          <w:caps/>
          <w:szCs w:val="26"/>
        </w:rPr>
      </w:r>
      <w:r>
        <w:rPr>
          <w:bCs/>
          <w:caps/>
          <w:szCs w:val="26"/>
        </w:rPr>
      </w:r>
      <w:r>
        <w:rPr>
          <w:bCs/>
          <w:caps/>
          <w:szCs w:val="26"/>
        </w:rPr>
      </w:r>
    </w:p>
    <w:p>
      <w:pPr>
        <w:contextualSpacing/>
        <w:jc w:val="center"/>
        <w:keepLines/>
        <w:keepNext/>
        <w:spacing w:after="120"/>
        <w:widowControl w:val="off"/>
        <w:rPr>
          <w:bCs/>
          <w:caps/>
          <w:szCs w:val="26"/>
        </w:rPr>
      </w:pPr>
      <w:r>
        <w:rPr>
          <w:bCs/>
          <w:caps/>
          <w:szCs w:val="26"/>
        </w:rPr>
        <w:t xml:space="preserve">РАЗДЕЛ 3. СУЩЕСТВУЮЩИЕ И ПЕРСПЕКТИВНЫЕ БАЛАНСЫ ТЕПЛОНОСИТЕЛЯ</w:t>
      </w:r>
      <w:bookmarkEnd w:id="9"/>
      <w:r>
        <w:rPr>
          <w:bCs/>
          <w:caps/>
          <w:szCs w:val="26"/>
        </w:rPr>
      </w:r>
      <w:r>
        <w:rPr>
          <w:bCs/>
          <w:caps/>
          <w:szCs w:val="26"/>
        </w:rPr>
      </w:r>
    </w:p>
    <w:p>
      <w:pPr>
        <w:contextualSpacing/>
        <w:jc w:val="center"/>
        <w:keepLines/>
        <w:keepNext/>
        <w:spacing w:after="120"/>
        <w:widowControl w:val="off"/>
        <w:rPr>
          <w:bCs/>
          <w:caps/>
          <w:szCs w:val="26"/>
        </w:rPr>
      </w:pPr>
      <w:r>
        <w:rPr>
          <w:bCs/>
          <w:caps/>
          <w:szCs w:val="26"/>
        </w:rPr>
      </w:r>
      <w:r>
        <w:rPr>
          <w:bCs/>
          <w:caps/>
          <w:szCs w:val="26"/>
        </w:rPr>
      </w:r>
      <w:r>
        <w:rPr>
          <w:bCs/>
          <w:caps/>
          <w:szCs w:val="26"/>
        </w:rPr>
      </w:r>
    </w:p>
    <w:p>
      <w:pPr>
        <w:ind w:firstLine="709"/>
        <w:jc w:val="both"/>
        <w:keepLines/>
        <w:keepNext/>
        <w:widowControl w:val="off"/>
        <w:rPr>
          <w:bCs/>
        </w:rPr>
        <w:outlineLvl w:val="2"/>
      </w:pPr>
      <w:r/>
      <w:bookmarkStart w:id="10" w:name="_Toc149054967"/>
      <w:r>
        <w:rPr>
          <w:bCs/>
        </w:rPr>
        <w:t xml:space="preserve">3.1.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</w:t>
      </w:r>
      <w:bookmarkEnd w:id="10"/>
      <w:r>
        <w:rPr>
          <w:bCs/>
        </w:rPr>
      </w:r>
      <w:r>
        <w:rPr>
          <w:bCs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В</w:t>
      </w:r>
      <w:r>
        <w:rPr>
          <w:rFonts w:eastAsia="Calibri"/>
          <w:lang w:eastAsia="en-US"/>
        </w:rPr>
        <w:t xml:space="preserve"> Тайшетском городском поселении </w:t>
      </w:r>
      <w:r>
        <w:rPr>
          <w:shd w:val="clear" w:color="auto" w:fill="ffffff"/>
        </w:rPr>
        <w:t xml:space="preserve">по состоянию на отчетный (базовый) 202</w:t>
      </w:r>
      <w:r>
        <w:rPr>
          <w:shd w:val="clear" w:color="auto" w:fill="ffffff"/>
        </w:rPr>
        <w:t xml:space="preserve">4</w:t>
      </w:r>
      <w:r>
        <w:rPr>
          <w:shd w:val="clear" w:color="auto" w:fill="ffffff"/>
        </w:rPr>
        <w:t xml:space="preserve"> год водоподготовительными установками оснащены все муниципальные котельные, в том числе: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Котельная №1 </w:t>
      </w:r>
      <w:r>
        <w:rPr>
          <w:rFonts w:eastAsia="Calibri"/>
          <w:lang w:eastAsia="en-US"/>
        </w:rPr>
        <w:t xml:space="preserve">(ТКСИ) -</w:t>
      </w:r>
      <w:r>
        <w:rPr>
          <w:shd w:val="clear" w:color="auto" w:fill="ffffff"/>
        </w:rPr>
        <w:t xml:space="preserve"> установлена водоподготовительная установка –</w:t>
      </w:r>
      <w:r>
        <w:t xml:space="preserve"> фильтры натрий-катионитные ФИПиА</w:t>
      </w:r>
      <w:r>
        <w:rPr>
          <w:shd w:val="clear" w:color="auto" w:fill="ffffff"/>
        </w:rPr>
        <w:t xml:space="preserve"> производительностью 430 м</w:t>
      </w:r>
      <w:r>
        <w:rPr>
          <w:shd w:val="clear" w:color="auto" w:fill="ffffff"/>
          <w:vertAlign w:val="superscript"/>
        </w:rPr>
        <w:t xml:space="preserve">3</w:t>
      </w:r>
      <w:r>
        <w:rPr>
          <w:shd w:val="clear" w:color="auto" w:fill="ffffff"/>
        </w:rPr>
        <w:t xml:space="preserve">/час (</w:t>
      </w:r>
      <w:r>
        <w:rPr>
          <w:rFonts w:eastAsiaTheme="minorEastAsia"/>
          <w:shd w:val="clear" w:color="auto" w:fill="ffffff"/>
        </w:rPr>
        <w:t xml:space="preserve">факт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года </w:t>
      </w:r>
      <w:r>
        <w:rPr>
          <w:rFonts w:eastAsiaTheme="minorEastAsia"/>
          <w:shd w:val="clear" w:color="auto" w:fill="ffffff"/>
        </w:rPr>
        <w:t xml:space="preserve">264871</w:t>
      </w:r>
      <w:r>
        <w:rPr>
          <w:rFonts w:eastAsiaTheme="minorEastAsia"/>
          <w:shd w:val="clear" w:color="auto" w:fill="ffffff"/>
        </w:rPr>
        <w:t xml:space="preserve"> м</w:t>
      </w:r>
      <w:r>
        <w:rPr>
          <w:rFonts w:eastAsiaTheme="minorEastAsia"/>
          <w:shd w:val="clear" w:color="auto" w:fill="ffffff"/>
          <w:vertAlign w:val="superscript"/>
        </w:rPr>
        <w:t xml:space="preserve">3</w:t>
      </w:r>
      <w:r>
        <w:rPr>
          <w:shd w:val="clear" w:color="auto" w:fill="ffffff"/>
        </w:rPr>
        <w:t xml:space="preserve">).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Котельная №2</w:t>
      </w:r>
      <w:r>
        <w:rPr>
          <w:rFonts w:eastAsia="Calibri"/>
          <w:lang w:eastAsia="en-US"/>
        </w:rPr>
        <w:t xml:space="preserve"> </w:t>
      </w:r>
      <w:r>
        <w:t xml:space="preserve">(ШПЗ)</w:t>
      </w:r>
      <w:r>
        <w:rPr>
          <w:rFonts w:eastAsia="Calibri"/>
          <w:lang w:eastAsia="en-US"/>
        </w:rPr>
        <w:t xml:space="preserve"> - </w:t>
      </w:r>
      <w:r>
        <w:rPr>
          <w:shd w:val="clear" w:color="auto" w:fill="ffffff"/>
        </w:rPr>
        <w:t xml:space="preserve">установлена водоподготовительная установка –</w:t>
      </w:r>
      <w:r>
        <w:t xml:space="preserve"> фильтры натрий-катионитные ФИПиА</w:t>
      </w:r>
      <w:r>
        <w:rPr>
          <w:shd w:val="clear" w:color="auto" w:fill="ffffff"/>
        </w:rPr>
        <w:t xml:space="preserve"> и </w:t>
      </w:r>
      <w:r>
        <w:t xml:space="preserve">фильтр механический ФОВ</w:t>
      </w:r>
      <w:r>
        <w:rPr>
          <w:shd w:val="clear" w:color="auto" w:fill="ffffff"/>
        </w:rPr>
        <w:t xml:space="preserve"> производительностью 290 м</w:t>
      </w:r>
      <w:r>
        <w:rPr>
          <w:shd w:val="clear" w:color="auto" w:fill="ffffff"/>
          <w:vertAlign w:val="superscript"/>
        </w:rPr>
        <w:t xml:space="preserve">3</w:t>
      </w:r>
      <w:r>
        <w:rPr>
          <w:shd w:val="clear" w:color="auto" w:fill="ffffff"/>
        </w:rPr>
        <w:t xml:space="preserve">/час (</w:t>
      </w:r>
      <w:r>
        <w:rPr>
          <w:rFonts w:eastAsiaTheme="minorEastAsia"/>
          <w:shd w:val="clear" w:color="auto" w:fill="ffffff"/>
        </w:rPr>
        <w:t xml:space="preserve">факт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года </w:t>
      </w:r>
      <w:r>
        <w:rPr>
          <w:rFonts w:eastAsiaTheme="minorEastAsia"/>
          <w:shd w:val="clear" w:color="auto" w:fill="ffffff"/>
        </w:rPr>
        <w:t xml:space="preserve">309400</w:t>
      </w:r>
      <w:r>
        <w:rPr>
          <w:rFonts w:eastAsiaTheme="minorEastAsia"/>
          <w:shd w:val="clear" w:color="auto" w:fill="ffffff"/>
        </w:rPr>
        <w:t xml:space="preserve"> м</w:t>
      </w:r>
      <w:r>
        <w:rPr>
          <w:rFonts w:eastAsiaTheme="minorEastAsia"/>
          <w:shd w:val="clear" w:color="auto" w:fill="ffffff"/>
          <w:vertAlign w:val="superscript"/>
        </w:rPr>
        <w:t xml:space="preserve">3</w:t>
      </w:r>
      <w:r>
        <w:rPr>
          <w:shd w:val="clear" w:color="auto" w:fill="ffffff"/>
        </w:rPr>
        <w:t xml:space="preserve">).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Котельная №3 </w:t>
      </w:r>
      <w:r>
        <w:t xml:space="preserve">(Мелькомбинат) -</w:t>
      </w:r>
      <w:r>
        <w:rPr>
          <w:shd w:val="clear" w:color="auto" w:fill="ffffff"/>
        </w:rPr>
        <w:t xml:space="preserve"> установлена водоподготовительная установка –</w:t>
      </w:r>
      <w:r>
        <w:t xml:space="preserve"> фильтры натрий-катионитные ФИПиА</w:t>
      </w:r>
      <w:r>
        <w:rPr>
          <w:shd w:val="clear" w:color="auto" w:fill="ffffff"/>
        </w:rPr>
        <w:t xml:space="preserve"> производительностью 80 м</w:t>
      </w:r>
      <w:r>
        <w:rPr>
          <w:shd w:val="clear" w:color="auto" w:fill="ffffff"/>
          <w:vertAlign w:val="superscript"/>
        </w:rPr>
        <w:t xml:space="preserve">3</w:t>
      </w:r>
      <w:r>
        <w:rPr>
          <w:shd w:val="clear" w:color="auto" w:fill="ffffff"/>
        </w:rPr>
        <w:t xml:space="preserve">/час (</w:t>
      </w:r>
      <w:r>
        <w:rPr>
          <w:rFonts w:eastAsiaTheme="minorEastAsia"/>
          <w:shd w:val="clear" w:color="auto" w:fill="ffffff"/>
        </w:rPr>
        <w:t xml:space="preserve">факт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года 5</w:t>
      </w:r>
      <w:r>
        <w:rPr>
          <w:rFonts w:eastAsiaTheme="minorEastAsia"/>
          <w:shd w:val="clear" w:color="auto" w:fill="ffffff"/>
        </w:rPr>
        <w:t xml:space="preserve">4218</w:t>
      </w:r>
      <w:r>
        <w:rPr>
          <w:rFonts w:eastAsiaTheme="minorEastAsia"/>
          <w:shd w:val="clear" w:color="auto" w:fill="ffffff"/>
        </w:rPr>
        <w:t xml:space="preserve"> м</w:t>
      </w:r>
      <w:r>
        <w:rPr>
          <w:rFonts w:eastAsiaTheme="minorEastAsia"/>
          <w:shd w:val="clear" w:color="auto" w:fill="ffffff"/>
          <w:vertAlign w:val="superscript"/>
        </w:rPr>
        <w:t xml:space="preserve">3</w:t>
      </w:r>
      <w:r>
        <w:rPr>
          <w:shd w:val="clear" w:color="auto" w:fill="ffffff"/>
        </w:rPr>
        <w:t xml:space="preserve">).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Котельная №4</w:t>
      </w:r>
      <w:r>
        <w:rPr>
          <w:rFonts w:eastAsia="Calibri"/>
          <w:lang w:eastAsia="en-US"/>
        </w:rPr>
        <w:t xml:space="preserve"> </w:t>
      </w:r>
      <w:r>
        <w:t xml:space="preserve">(Экспедиция 5) -</w:t>
      </w:r>
      <w:r>
        <w:rPr>
          <w:shd w:val="clear" w:color="auto" w:fill="ffffff"/>
        </w:rPr>
        <w:t xml:space="preserve"> установлена водоподготовительная установка, в которой происходит очистка воды с помощью дозирования реагента – </w:t>
      </w:r>
      <w:r>
        <w:rPr>
          <w:spacing w:val="1"/>
          <w:shd w:val="clear" w:color="auto" w:fill="ffffff"/>
        </w:rPr>
        <w:t xml:space="preserve">комплексонат «ОПТИОН-312», фактическая </w:t>
      </w:r>
      <w:r>
        <w:rPr>
          <w:shd w:val="clear" w:color="auto" w:fill="ffffff"/>
        </w:rPr>
        <w:t xml:space="preserve">производительность </w:t>
      </w:r>
      <w:r>
        <w:rPr>
          <w:rFonts w:eastAsiaTheme="minorEastAsia"/>
          <w:shd w:val="clear" w:color="auto" w:fill="ffffff"/>
        </w:rPr>
        <w:t xml:space="preserve">за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 составила </w:t>
      </w:r>
      <w:r>
        <w:rPr>
          <w:rFonts w:eastAsiaTheme="minorEastAsia"/>
          <w:shd w:val="clear" w:color="auto" w:fill="ffffff"/>
        </w:rPr>
        <w:t xml:space="preserve">2632</w:t>
      </w:r>
      <w:r>
        <w:rPr>
          <w:rFonts w:eastAsiaTheme="minorEastAsia"/>
          <w:shd w:val="clear" w:color="auto" w:fill="ffffff"/>
        </w:rPr>
        <w:t xml:space="preserve"> м</w:t>
      </w:r>
      <w:r>
        <w:rPr>
          <w:rFonts w:eastAsiaTheme="minorEastAsia"/>
          <w:shd w:val="clear" w:color="auto" w:fill="ffffff"/>
          <w:vertAlign w:val="superscript"/>
        </w:rPr>
        <w:t xml:space="preserve">3</w:t>
      </w:r>
      <w:r>
        <w:rPr>
          <w:shd w:val="clear" w:color="auto" w:fill="ffffff"/>
        </w:rPr>
        <w:t xml:space="preserve">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Котельная №5 </w:t>
      </w:r>
      <w:r>
        <w:rPr>
          <w:rFonts w:eastAsia="Calibri"/>
          <w:lang w:eastAsia="en-US"/>
        </w:rPr>
        <w:t xml:space="preserve">(Совхоз) -</w:t>
      </w:r>
      <w:r>
        <w:rPr>
          <w:shd w:val="clear" w:color="auto" w:fill="ffffff"/>
        </w:rPr>
        <w:t xml:space="preserve"> установлена водоподготовительная установка в которой происходит очистка воды с помощью дозирования реагента – </w:t>
      </w:r>
      <w:r>
        <w:rPr>
          <w:spacing w:val="1"/>
          <w:shd w:val="clear" w:color="auto" w:fill="ffffff"/>
        </w:rPr>
        <w:t xml:space="preserve">комплексонат «ОПТИОН-312», фактическая </w:t>
      </w:r>
      <w:r>
        <w:rPr>
          <w:shd w:val="clear" w:color="auto" w:fill="ffffff"/>
        </w:rPr>
        <w:t xml:space="preserve">производительность </w:t>
      </w:r>
      <w:r>
        <w:rPr>
          <w:rFonts w:eastAsiaTheme="minorEastAsia"/>
          <w:shd w:val="clear" w:color="auto" w:fill="ffffff"/>
        </w:rPr>
        <w:t xml:space="preserve">за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 составила 2</w:t>
      </w:r>
      <w:r>
        <w:rPr>
          <w:rFonts w:eastAsiaTheme="minorEastAsia"/>
          <w:shd w:val="clear" w:color="auto" w:fill="ffffff"/>
        </w:rPr>
        <w:t xml:space="preserve">030</w:t>
      </w:r>
      <w:r>
        <w:rPr>
          <w:rFonts w:eastAsiaTheme="minorEastAsia"/>
          <w:shd w:val="clear" w:color="auto" w:fill="ffffff"/>
        </w:rPr>
        <w:t xml:space="preserve"> м</w:t>
      </w:r>
      <w:r>
        <w:rPr>
          <w:rFonts w:eastAsiaTheme="minorEastAsia"/>
          <w:shd w:val="clear" w:color="auto" w:fill="ffffff"/>
          <w:vertAlign w:val="superscript"/>
        </w:rPr>
        <w:t xml:space="preserve">3</w:t>
      </w:r>
      <w:r>
        <w:rPr>
          <w:shd w:val="clear" w:color="auto" w:fill="ffffff"/>
        </w:rPr>
        <w:t xml:space="preserve">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В электрокотельной </w:t>
      </w:r>
      <w:r>
        <w:t xml:space="preserve">ДТВ ОАО «РЖД» и электрокотельной ПС-500 </w:t>
      </w:r>
      <w:r>
        <w:rPr>
          <w:shd w:val="clear" w:color="auto" w:fill="ffffff"/>
        </w:rPr>
        <w:t xml:space="preserve">водоподготовительные установки по состоянию на отчетный (базовый) 2023 год отсутствуют. Монтаж водоподготовительных установок в электрокотельные на перспективу не прогнозируется.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</w:pPr>
      <w:r>
        <w:t xml:space="preserve">Существующие и перспективные балансы производительности водоподготовительных установок котельных представлены в Таблице 13.</w:t>
      </w:r>
      <w:r/>
    </w:p>
    <w:p>
      <w:pPr>
        <w:jc w:val="right"/>
        <w:tabs>
          <w:tab w:val="left" w:pos="567" w:leader="none"/>
          <w:tab w:val="right" w:pos="9923" w:leader="dot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Таблица 13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center"/>
        <w:tabs>
          <w:tab w:val="left" w:pos="567" w:leader="none"/>
          <w:tab w:val="right" w:pos="9923" w:leader="dot"/>
        </w:tabs>
      </w:pPr>
      <w:r>
        <w:t xml:space="preserve">Существующие и перспективные балансы производительности</w:t>
      </w:r>
      <w:r/>
    </w:p>
    <w:p>
      <w:pPr>
        <w:jc w:val="center"/>
        <w:tabs>
          <w:tab w:val="left" w:pos="567" w:leader="none"/>
          <w:tab w:val="right" w:pos="9923" w:leader="dot"/>
        </w:tabs>
      </w:pPr>
      <w:r>
        <w:t xml:space="preserve"> водоподготовительных установок котельных</w:t>
      </w:r>
      <w:r/>
    </w:p>
    <w:tbl>
      <w:tblPr>
        <w:tblW w:w="951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58"/>
        <w:gridCol w:w="709"/>
        <w:gridCol w:w="709"/>
        <w:gridCol w:w="850"/>
        <w:gridCol w:w="851"/>
        <w:gridCol w:w="708"/>
        <w:gridCol w:w="851"/>
        <w:gridCol w:w="850"/>
        <w:gridCol w:w="709"/>
        <w:gridCol w:w="709"/>
        <w:gridCol w:w="709"/>
      </w:tblGrid>
      <w:tr>
        <w:tblPrEx/>
        <w:trPr>
          <w:trHeight w:val="221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4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185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Наименование муниципальной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655" w:type="dxa"/>
            <w:textDirection w:val="lrTb"/>
            <w:noWrap w:val="false"/>
          </w:tcPr>
          <w:p>
            <w:pPr>
              <w:ind w:firstLine="720"/>
              <w:jc w:val="center"/>
              <w:widowControl w:val="off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Баланс производительности водоподготовительной установки  котельной, м</w:t>
            </w:r>
            <w:r>
              <w:rPr>
                <w:bCs/>
                <w:sz w:val="22"/>
                <w:szCs w:val="22"/>
                <w:vertAlign w:val="superscript"/>
              </w:rPr>
              <w:t xml:space="preserve">3</w:t>
            </w:r>
            <w:r>
              <w:rPr>
                <w:bCs/>
                <w:sz w:val="22"/>
                <w:szCs w:val="22"/>
              </w:rPr>
              <w:t xml:space="preserve">/час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4" w:space="0"/>
            </w:tcBorders>
            <w:tcW w:w="1858" w:type="dxa"/>
            <w:vAlign w:val="center"/>
            <w:vMerge w:val="continue"/>
            <w:textDirection w:val="lrTb"/>
            <w:noWrap w:val="false"/>
          </w:tcPr>
          <w:p>
            <w:pPr>
              <w:ind w:firstLine="720"/>
              <w:jc w:val="center"/>
              <w:widowControl w:val="off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1418" w:type="dxa"/>
            <w:vAlign w:val="center"/>
            <w:textDirection w:val="lrTb"/>
            <w:noWrap w:val="false"/>
          </w:tcPr>
          <w:p>
            <w:pPr>
              <w:ind w:firstLine="15"/>
              <w:jc w:val="center"/>
              <w:widowControl w:val="off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Базовая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000000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6237" w:type="dxa"/>
            <w:vAlign w:val="center"/>
            <w:textDirection w:val="lrTb"/>
            <w:noWrap w:val="false"/>
          </w:tcPr>
          <w:p>
            <w:pPr>
              <w:ind w:firstLine="720"/>
              <w:jc w:val="center"/>
              <w:widowControl w:val="off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Перспективная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1858" w:type="dxa"/>
            <w:vAlign w:val="center"/>
            <w:vMerge w:val="continue"/>
            <w:textDirection w:val="lrTb"/>
            <w:noWrap w:val="false"/>
          </w:tcPr>
          <w:p>
            <w:pPr>
              <w:ind w:firstLine="720"/>
              <w:jc w:val="center"/>
              <w:widowControl w:val="off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2022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2023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2024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2025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2026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2027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2028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2029-2033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2034-2038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2039-2041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1858" w:type="dxa"/>
            <w:vAlign w:val="center"/>
            <w:textDirection w:val="lrTb"/>
            <w:noWrap w:val="false"/>
          </w:tcPr>
          <w:p>
            <w:pPr>
              <w:widowControl w:val="o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37,14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43,1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43,30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53,34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62,50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66,33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68,42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68,42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68,42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37,14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1858" w:type="dxa"/>
            <w:vAlign w:val="center"/>
            <w:textDirection w:val="lrTb"/>
            <w:noWrap w:val="false"/>
          </w:tcPr>
          <w:p>
            <w:pPr>
              <w:widowControl w:val="o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2 (ШПЗ)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42,96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43,15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43,35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43,73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44,48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44,48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44,48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44,48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44,48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42,96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1858" w:type="dxa"/>
            <w:vAlign w:val="center"/>
            <w:textDirection w:val="lrTb"/>
            <w:noWrap w:val="false"/>
          </w:tcPr>
          <w:p>
            <w:pPr>
              <w:widowControl w:val="o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3 (Мелькомбинат)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9,52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6,69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9,52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9,52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9,52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9,52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9,52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9,52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9,52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9,52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1858" w:type="dxa"/>
            <w:vAlign w:val="center"/>
            <w:textDirection w:val="lrTb"/>
            <w:noWrap w:val="false"/>
          </w:tcPr>
          <w:p>
            <w:pPr>
              <w:widowControl w:val="o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4 (Экспедиция 5)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0,51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0,36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0,51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0,51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0,51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0,51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0,51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0,51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0,51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0,51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1858" w:type="dxa"/>
            <w:vAlign w:val="center"/>
            <w:textDirection w:val="lrTb"/>
            <w:noWrap w:val="false"/>
          </w:tcPr>
          <w:p>
            <w:pPr>
              <w:widowControl w:val="o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5 (Совхоз)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0,40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0,28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0,40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0,40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0,40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0,40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0,40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0,40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Mar>
              <w:left w:w="15" w:type="dxa"/>
              <w:top w:w="15" w:type="dxa"/>
              <w:right w:w="15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0,40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0,40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</w:tbl>
    <w:p>
      <w:pPr>
        <w:ind w:firstLine="709"/>
        <w:jc w:val="both"/>
        <w:tabs>
          <w:tab w:val="left" w:pos="567" w:leader="none"/>
          <w:tab w:val="right" w:pos="9923" w:leader="dot"/>
        </w:tabs>
      </w:pP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  <w:r/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highlight w:val="none"/>
          <w:shd w:val="clear" w:color="auto" w:fill="ffffff"/>
        </w:rPr>
      </w:pPr>
      <w:r>
        <w:rPr>
          <w:shd w:val="clear" w:color="auto" w:fill="ffffff"/>
        </w:rPr>
        <w:t xml:space="preserve">Системы теплоснабжения </w:t>
      </w:r>
      <w:r>
        <w:rPr>
          <w:rFonts w:eastAsia="Calibri"/>
          <w:lang w:eastAsia="en-US"/>
        </w:rPr>
        <w:t xml:space="preserve">котельных Тайшетского городского поселения</w:t>
      </w:r>
      <w:r>
        <w:rPr>
          <w:shd w:val="clear" w:color="auto" w:fill="ffffff"/>
        </w:rPr>
        <w:t xml:space="preserve"> являются закрытыми системами, </w:t>
      </w:r>
      <w:r>
        <w:rPr>
          <w:rFonts w:eastAsia="Calibri"/>
          <w:lang w:eastAsia="en-US"/>
        </w:rPr>
        <w:t xml:space="preserve">кроме котельной №1 (ТКСИ) – система открытая.</w:t>
      </w:r>
      <w:r>
        <w:rPr>
          <w:shd w:val="clear" w:color="auto" w:fill="ffffff"/>
        </w:rPr>
        <w:t xml:space="preserve"> В открытых системах теплопотребляющими установками потребителей осуществляется потребление теплоносителя на нужды горячего водоснабжения.</w:t>
      </w:r>
      <w:r>
        <w:t xml:space="preserve"> </w:t>
      </w:r>
      <w:r>
        <w:rPr>
          <w:shd w:val="clear" w:color="auto" w:fill="ffffff"/>
        </w:rPr>
        <w:t xml:space="preserve">В закрытой системе теплопотребляющие установки сетевую воду от котельных №2, №3, №4, №5, на нужды горячего водоснабжения, не расходуют.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Существующие и перспективные балансы максимального потребления теплоносителя в системах теплоснабжения </w:t>
      </w:r>
      <w:r>
        <w:rPr>
          <w:rFonts w:eastAsia="Calibri"/>
          <w:lang w:eastAsia="en-US"/>
        </w:rPr>
        <w:t xml:space="preserve">муниципальной котельной №1 </w:t>
      </w:r>
      <w:r>
        <w:rPr>
          <w:shd w:val="clear" w:color="auto" w:fill="ffffff"/>
        </w:rPr>
        <w:t xml:space="preserve">представлены в Таблице 14.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right"/>
        <w:tabs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Таблица 14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Существующие и перспективные балансы максимального потребления теплоносителя 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rFonts w:eastAsia="Calibri"/>
          <w:lang w:eastAsia="en-US"/>
        </w:rPr>
      </w:pPr>
      <w:r>
        <w:rPr>
          <w:shd w:val="clear" w:color="auto" w:fill="ffffff"/>
        </w:rPr>
        <w:t xml:space="preserve">в системах теплоснабжения </w:t>
      </w:r>
      <w:r>
        <w:rPr>
          <w:rFonts w:eastAsia="Calibri"/>
          <w:lang w:eastAsia="en-US"/>
        </w:rPr>
        <w:t xml:space="preserve">муниципальной котельной №1 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tbl>
      <w:tblPr>
        <w:tblW w:w="965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858"/>
        <w:gridCol w:w="709"/>
        <w:gridCol w:w="170"/>
        <w:gridCol w:w="539"/>
        <w:gridCol w:w="850"/>
        <w:gridCol w:w="851"/>
        <w:gridCol w:w="850"/>
        <w:gridCol w:w="851"/>
        <w:gridCol w:w="850"/>
        <w:gridCol w:w="709"/>
        <w:gridCol w:w="709"/>
        <w:gridCol w:w="708"/>
      </w:tblGrid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185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Наименование муниципальной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none" w:color="000000" w:sz="4" w:space="0"/>
            </w:tcBorders>
            <w:tcW w:w="879" w:type="dxa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6917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Максимальное потребление теплоносителя в системе теплоснабжения муниципальной котельной, м</w:t>
            </w:r>
            <w:r>
              <w:rPr>
                <w:bCs/>
                <w:sz w:val="22"/>
                <w:szCs w:val="22"/>
                <w:vertAlign w:val="superscript"/>
              </w:rPr>
              <w:t xml:space="preserve">3</w:t>
            </w:r>
            <w:r>
              <w:rPr>
                <w:bCs/>
                <w:sz w:val="22"/>
                <w:szCs w:val="22"/>
              </w:rPr>
              <w:t xml:space="preserve">/час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1858" w:type="dxa"/>
            <w:vAlign w:val="center"/>
            <w:vMerge w:val="continue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141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Базовая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637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Перспективная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1858" w:type="dxa"/>
            <w:vAlign w:val="center"/>
            <w:vMerge w:val="continue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2023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ind w:righ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2024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2025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2026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2027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2028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2029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</w:t>
            </w:r>
            <w:r>
              <w:rPr>
                <w:bCs/>
                <w:sz w:val="22"/>
                <w:szCs w:val="22"/>
                <w:lang w:val="en-US"/>
              </w:rPr>
              <w:t xml:space="preserve">30</w:t>
            </w:r>
            <w:r>
              <w:rPr>
                <w:bCs/>
                <w:sz w:val="22"/>
                <w:szCs w:val="22"/>
              </w:rPr>
              <w:t xml:space="preserve">-203</w:t>
            </w:r>
            <w:r>
              <w:rPr>
                <w:bCs/>
                <w:sz w:val="22"/>
                <w:szCs w:val="22"/>
                <w:lang w:val="en-US"/>
              </w:rPr>
              <w:t xml:space="preserve">4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</w:t>
            </w:r>
            <w:r>
              <w:rPr>
                <w:bCs/>
                <w:sz w:val="22"/>
                <w:szCs w:val="22"/>
                <w:lang w:val="en-US"/>
              </w:rPr>
              <w:t xml:space="preserve">5</w:t>
            </w:r>
            <w:r>
              <w:rPr>
                <w:bCs/>
                <w:sz w:val="22"/>
                <w:szCs w:val="22"/>
              </w:rPr>
              <w:t xml:space="preserve">-203</w:t>
            </w:r>
            <w:r>
              <w:rPr>
                <w:bCs/>
                <w:sz w:val="22"/>
                <w:szCs w:val="22"/>
                <w:lang w:val="en-US"/>
              </w:rPr>
              <w:t xml:space="preserve">9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8" w:type="dxa"/>
            <w:textDirection w:val="lrTb"/>
            <w:noWrap w:val="false"/>
          </w:tcPr>
          <w:p>
            <w:pPr>
              <w:ind w:lef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</w:t>
            </w:r>
            <w:r>
              <w:rPr>
                <w:bCs/>
                <w:sz w:val="22"/>
                <w:szCs w:val="22"/>
                <w:lang w:val="en-US"/>
              </w:rPr>
              <w:t xml:space="preserve">40</w:t>
            </w:r>
            <w:r>
              <w:rPr>
                <w:bCs/>
                <w:sz w:val="22"/>
                <w:szCs w:val="22"/>
              </w:rPr>
              <w:t xml:space="preserve">-2041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858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ind w:lef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ind w:lef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85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муниципальному образованию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18,78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18,78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18,78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18,78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18,78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18,78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18,78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ind w:lef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18,78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ind w:lef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18,78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18,78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</w:tbl>
    <w:p>
      <w:pPr>
        <w:ind w:firstLine="709"/>
        <w:jc w:val="both"/>
        <w:keepLines/>
        <w:keepNext/>
        <w:widowControl w:val="off"/>
        <w:rPr>
          <w:rFonts w:cs="Times New Roman CYR"/>
          <w:bCs/>
          <w:shd w:val="clear" w:color="auto" w:fill="ffffff"/>
        </w:rPr>
      </w:pPr>
      <w:r/>
      <w:bookmarkStart w:id="11" w:name="_Toc149054968"/>
      <w:r>
        <w:rPr>
          <w:bCs/>
        </w:rPr>
        <w:t xml:space="preserve">3.2. 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</w:t>
      </w:r>
      <w:bookmarkEnd w:id="11"/>
      <w:r>
        <w:rPr>
          <w:rFonts w:cs="Times New Roman CYR"/>
          <w:bCs/>
          <w:shd w:val="clear" w:color="auto" w:fill="ffffff"/>
        </w:rPr>
      </w:r>
      <w:r>
        <w:rPr>
          <w:rFonts w:cs="Times New Roman CYR"/>
          <w:bCs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Для закрытых систем потери теплоносителя обосновываются только ав</w:t>
      </w:r>
      <w:r>
        <w:rPr>
          <w:shd w:val="clear" w:color="auto" w:fill="ffffff"/>
        </w:rPr>
        <w:t xml:space="preserve">арийными и технологическими утечками. Разбор теплоносителя из системы теплоснабжения потребителями отсутствует. Таким образом, при безаварийном режиме работы количество теплоносителя возвращенного равно количеству теплоносителя отпущенного в тепловую сеть.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Тепловая сеть котельной </w:t>
      </w:r>
      <w:r>
        <w:t xml:space="preserve">№1 (ТКСИ) – открытая</w:t>
      </w:r>
      <w:r>
        <w:t xml:space="preserve">, поэтому расход на аварийную подпитку, согласно пункту 6.17. СНиП 41-02-2003, принимается в количестве 2 % от объема воды в трубопроводах тепловых сетей и присоединенных к ним системах отопления и горячего водоснабжения для открытых систем теплоснабжения.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Существующие и перспективные балансы производительности водоподготовительных установок </w:t>
      </w:r>
      <w:r>
        <w:rPr>
          <w:rFonts w:eastAsia="Calibri"/>
          <w:lang w:eastAsia="en-US"/>
        </w:rPr>
        <w:t xml:space="preserve">муниципальной котельной №1 (ТКСИ) для компенсации потерь теплоносителя в аварийных режимах системы теплоснабжения представлены в Таблице 15.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right"/>
        <w:tabs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Таблица 15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rFonts w:eastAsia="Calibri"/>
          <w:lang w:eastAsia="en-US"/>
        </w:rPr>
      </w:pPr>
      <w:r>
        <w:rPr>
          <w:shd w:val="clear" w:color="auto" w:fill="ffffff"/>
        </w:rPr>
        <w:t xml:space="preserve">Существующие и перспективные балансы производительности водоподготовительных установок </w:t>
      </w:r>
      <w:r>
        <w:rPr>
          <w:rFonts w:eastAsia="Calibri"/>
          <w:lang w:eastAsia="en-US"/>
        </w:rPr>
        <w:t xml:space="preserve">муниципальной котельной №1 (ТКСИ) для компенсации потерь теплоносителя в аварийных режимах системы теплоснабжения 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tbl>
      <w:tblPr>
        <w:tblW w:w="9464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851"/>
        <w:gridCol w:w="850"/>
        <w:gridCol w:w="851"/>
        <w:gridCol w:w="850"/>
        <w:gridCol w:w="709"/>
        <w:gridCol w:w="709"/>
        <w:gridCol w:w="709"/>
        <w:gridCol w:w="708"/>
        <w:gridCol w:w="709"/>
        <w:gridCol w:w="709"/>
      </w:tblGrid>
      <w:tr>
        <w:tblPrEx/>
        <w:trPr>
          <w:trHeight w:val="859"/>
          <w:tblHeader/>
        </w:trPr>
        <w:tc>
          <w:tcPr>
            <w:shd w:val="clear" w:color="auto" w:fill="auto"/>
            <w:tcW w:w="180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Наименование муниципальной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0"/>
            <w:shd w:val="clear" w:color="auto" w:fill="auto"/>
            <w:tcW w:w="7655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Баланс производительности водоподготовительной установки котельной для компенсации потерь теплоносителя в аварийных режимах системы теплоснабжения, м3/ч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  <w:tblHeader/>
        </w:trPr>
        <w:tc>
          <w:tcPr>
            <w:tcW w:w="1809" w:type="dxa"/>
            <w:vAlign w:val="center"/>
            <w:vMerge w:val="continue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right w:val="single" w:color="auto" w:sz="4" w:space="0"/>
            </w:tcBorders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Базовая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Borders>
              <w:left w:val="single" w:color="auto" w:sz="4" w:space="0"/>
            </w:tcBorders>
            <w:tcW w:w="5954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Перспективная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  <w:tblHeader/>
        </w:trPr>
        <w:tc>
          <w:tcPr>
            <w:tcW w:w="1809" w:type="dxa"/>
            <w:vAlign w:val="center"/>
            <w:vMerge w:val="continue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2023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ind w:righ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2024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2025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2026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2027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2028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2029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708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</w:t>
            </w:r>
            <w:r>
              <w:rPr>
                <w:bCs/>
                <w:sz w:val="22"/>
                <w:szCs w:val="22"/>
                <w:lang w:val="en-US"/>
              </w:rPr>
              <w:t xml:space="preserve">30</w:t>
            </w:r>
            <w:r>
              <w:rPr>
                <w:bCs/>
                <w:sz w:val="22"/>
                <w:szCs w:val="22"/>
              </w:rPr>
              <w:t xml:space="preserve">-203</w:t>
            </w:r>
            <w:r>
              <w:rPr>
                <w:bCs/>
                <w:sz w:val="22"/>
                <w:szCs w:val="22"/>
                <w:lang w:val="en-US"/>
              </w:rPr>
              <w:t xml:space="preserve">4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709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</w:t>
            </w:r>
            <w:r>
              <w:rPr>
                <w:bCs/>
                <w:sz w:val="22"/>
                <w:szCs w:val="22"/>
                <w:lang w:val="en-US"/>
              </w:rPr>
              <w:t xml:space="preserve">5</w:t>
            </w:r>
            <w:r>
              <w:rPr>
                <w:bCs/>
                <w:sz w:val="22"/>
                <w:szCs w:val="22"/>
              </w:rPr>
              <w:t xml:space="preserve">-203</w:t>
            </w:r>
            <w:r>
              <w:rPr>
                <w:bCs/>
                <w:sz w:val="22"/>
                <w:szCs w:val="22"/>
                <w:lang w:val="en-US"/>
              </w:rPr>
              <w:t xml:space="preserve">9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</w:t>
            </w:r>
            <w:r>
              <w:rPr>
                <w:bCs/>
                <w:sz w:val="22"/>
                <w:szCs w:val="22"/>
                <w:lang w:val="en-US"/>
              </w:rPr>
              <w:t xml:space="preserve">40</w:t>
            </w:r>
            <w:r>
              <w:rPr>
                <w:bCs/>
                <w:sz w:val="22"/>
                <w:szCs w:val="22"/>
              </w:rPr>
              <w:t xml:space="preserve">-2041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180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54,59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09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63,82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09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67,70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09" w:type="dxa"/>
            <w:vAlign w:val="center"/>
            <w:textDirection w:val="lrTb"/>
            <w:noWrap w:val="false"/>
          </w:tcPr>
          <w:p>
            <w:pPr>
              <w:ind w:lef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69,79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08" w:type="dxa"/>
            <w:vAlign w:val="center"/>
            <w:textDirection w:val="lrTb"/>
            <w:noWrap w:val="false"/>
          </w:tcPr>
          <w:p>
            <w:pPr>
              <w:ind w:lef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69,79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09" w:type="dxa"/>
            <w:vAlign w:val="center"/>
            <w:textDirection w:val="lrTb"/>
            <w:noWrap w:val="false"/>
          </w:tcPr>
          <w:p>
            <w:pPr>
              <w:ind w:lef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68,42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ind w:lef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68,42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1809" w:type="dxa"/>
            <w:vAlign w:val="center"/>
            <w:textDirection w:val="lrTb"/>
            <w:noWrap w:val="false"/>
          </w:tcPr>
          <w:p>
            <w:pPr>
              <w:ind w:righ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муниципальному образованию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44,36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44,36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44,36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54,59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709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63,82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709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67,70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709" w:type="dxa"/>
            <w:vAlign w:val="center"/>
            <w:textDirection w:val="lrTb"/>
            <w:noWrap w:val="false"/>
          </w:tcPr>
          <w:p>
            <w:pPr>
              <w:ind w:lef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69,79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708" w:type="dxa"/>
            <w:vAlign w:val="center"/>
            <w:textDirection w:val="lrTb"/>
            <w:noWrap w:val="false"/>
          </w:tcPr>
          <w:p>
            <w:pPr>
              <w:ind w:lef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69,79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709" w:type="dxa"/>
            <w:vAlign w:val="center"/>
            <w:textDirection w:val="lrTb"/>
            <w:noWrap w:val="false"/>
          </w:tcPr>
          <w:p>
            <w:pPr>
              <w:ind w:lef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68,42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ind w:lef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68,42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</w:tbl>
    <w:p>
      <w:pPr>
        <w:ind w:firstLine="709"/>
        <w:jc w:val="both"/>
        <w:tabs>
          <w:tab w:val="left" w:pos="567" w:leader="none"/>
          <w:tab w:val="right" w:pos="9923" w:leader="dot"/>
        </w:tabs>
      </w:pP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  <w:r/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highlight w:val="none"/>
          <w:shd w:val="clear" w:color="auto" w:fill="ffffff"/>
        </w:rPr>
      </w:pPr>
      <w:r>
        <w:rPr>
          <w:shd w:val="clear" w:color="auto" w:fill="ffffff"/>
        </w:rPr>
        <w:t xml:space="preserve">Как следует из Таблицы 15 производительность водоподготовительных установок котельной достаточна для обеспечения подпитки систем теплоснабжения химически очищенной водой в аварийных режимах работы.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center"/>
        <w:rPr>
          <w:bCs/>
          <w:caps/>
          <w:szCs w:val="26"/>
        </w:rPr>
      </w:pPr>
      <w:r>
        <w:rPr>
          <w:bCs/>
          <w:caps/>
          <w:szCs w:val="26"/>
        </w:rPr>
        <w:t xml:space="preserve">РАЗДЕЛ 4. ОСНОВНЫЕ ПОЛОЖЕНИЯ МАСТЕР-ПЛАНА РАЗВИТИЯ СИСТЕМ ТЕПЛОСНАБЖЕНИЯ ТАЙШЕТСКОГО МУНИЦИПАЛЬНОГО ОБРАЗОВАНИЯ «ТАЙШЕТСКОЕ ГОРОДСКОЕ ПОСЕЛЕНИЕ»</w:t>
      </w:r>
      <w:r>
        <w:rPr>
          <w:bCs/>
          <w:caps/>
          <w:szCs w:val="26"/>
        </w:rPr>
      </w:r>
      <w:r>
        <w:rPr>
          <w:bCs/>
          <w:caps/>
          <w:szCs w:val="26"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12" w:name="_Toc149054969"/>
      <w:r>
        <w:rPr>
          <w:bCs/>
        </w:rPr>
        <w:t xml:space="preserve">4.1. </w:t>
      </w:r>
      <w:r>
        <w:rPr>
          <w:bCs/>
          <w:shd w:val="clear" w:color="auto" w:fill="ffffff"/>
        </w:rPr>
        <w:t xml:space="preserve">Описание сценариев развития теплоснабжения Тайшетского муниципального образования «Тайшетское городское поселение»</w:t>
      </w:r>
      <w:bookmarkEnd w:id="12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Theme="minorHAnsi"/>
          <w:bCs/>
          <w:spacing w:val="2"/>
          <w:lang w:eastAsia="en-US"/>
        </w:rPr>
      </w:pPr>
      <w:r>
        <w:t xml:space="preserve">Генеральный план Тайшетского городского поселения в части развития систем теплоснабжения предусматривает сохранение существующей организации теплоснабжения и не предполагает вариантности ее развития. </w:t>
      </w:r>
      <w:r>
        <w:rPr>
          <w:rFonts w:eastAsiaTheme="minorHAnsi"/>
          <w:bCs/>
          <w:spacing w:val="2"/>
          <w:lang w:eastAsia="en-US"/>
        </w:rPr>
        <w:t xml:space="preserve">На расчетный сро</w:t>
      </w:r>
      <w:r>
        <w:rPr>
          <w:rFonts w:eastAsiaTheme="minorHAnsi"/>
          <w:bCs/>
          <w:spacing w:val="2"/>
          <w:lang w:eastAsia="en-US"/>
        </w:rPr>
        <w:t xml:space="preserve">к генеральным планом планируется централизованное теплоснабжение только для районов многоэтажной и среднеэтажной капитальной застройки от существующих теплоисточников. Районы индивидуальной малоэтажной застройки обеспечиваются теплом децентрализованно, от </w:t>
      </w:r>
      <w:r>
        <w:t xml:space="preserve">индивидуальных автономных источников тепла, работающих на угле, дровах, электричестве. </w:t>
      </w:r>
      <w:r>
        <w:rPr>
          <w:rFonts w:eastAsiaTheme="minorHAnsi"/>
          <w:bCs/>
          <w:spacing w:val="2"/>
          <w:lang w:eastAsia="en-US"/>
        </w:rPr>
        <w:t xml:space="preserve"> Горячее водоснабжение в этих районах осуществляется от электрических водонагревателей. Проектом предусматривается: использование резервных тепловых мощностей существующих котельных для реконструируемых и новых объектов строительства;</w:t>
      </w:r>
      <w:r>
        <w:rPr>
          <w:rFonts w:eastAsiaTheme="minorHAnsi"/>
          <w:bCs/>
          <w:spacing w:val="2"/>
          <w:lang w:eastAsia="en-US"/>
        </w:rPr>
      </w:r>
      <w:r>
        <w:rPr>
          <w:rFonts w:eastAsiaTheme="minorHAnsi"/>
          <w:bCs/>
          <w:spacing w:val="2"/>
          <w:lang w:eastAsia="en-US"/>
        </w:rPr>
      </w:r>
    </w:p>
    <w:p>
      <w:pPr>
        <w:ind w:firstLine="709"/>
        <w:jc w:val="both"/>
        <w:widowControl w:val="off"/>
        <w:rPr>
          <w:rFonts w:eastAsiaTheme="minorHAnsi"/>
          <w:bCs/>
          <w:color w:val="auto"/>
          <w:spacing w:val="2"/>
        </w:rPr>
      </w:pPr>
      <w:r>
        <w:rPr>
          <w:rFonts w:eastAsiaTheme="minorHAnsi"/>
          <w:bCs/>
          <w:color w:val="auto"/>
          <w:spacing w:val="2"/>
          <w:lang w:eastAsia="en-US"/>
        </w:rPr>
        <w:t xml:space="preserve">модернизация существующих котельных и тепловых сетей.</w:t>
      </w:r>
      <w:r>
        <w:rPr>
          <w:rFonts w:eastAsiaTheme="minorHAnsi"/>
          <w:bCs/>
          <w:color w:val="auto"/>
          <w:spacing w:val="2"/>
        </w:rPr>
      </w:r>
      <w:r>
        <w:rPr>
          <w:rFonts w:eastAsiaTheme="minorHAnsi"/>
          <w:bCs/>
          <w:color w:val="auto"/>
          <w:spacing w:val="2"/>
        </w:rPr>
      </w:r>
    </w:p>
    <w:p>
      <w:pPr>
        <w:ind w:firstLine="709"/>
        <w:jc w:val="both"/>
        <w:widowControl w:val="off"/>
        <w:rPr>
          <w:color w:val="auto"/>
        </w:rPr>
      </w:pPr>
      <w:r>
        <w:rPr>
          <w:rFonts w:eastAsiaTheme="minorHAnsi"/>
          <w:bCs/>
          <w:color w:val="auto"/>
          <w:spacing w:val="2"/>
          <w:lang w:eastAsia="en-US"/>
        </w:rPr>
        <w:t xml:space="preserve">Мероприятия по развитию сферы теплоснабжения Тайшетского городского поселения отражены </w:t>
      </w:r>
      <w:r>
        <w:rPr>
          <w:color w:val="auto"/>
        </w:rPr>
        <w:t xml:space="preserve">в инвестиционной программе ОП «ТТС» АО «Байкалэнерго  на 2022-2026 годы, утвержденной распоряжением Министерства жилищной политики и энергетики Иркутской области от 08 ноября 2021 года.</w:t>
      </w:r>
      <w:r>
        <w:rPr>
          <w:color w:val="auto"/>
        </w:rPr>
      </w:r>
      <w:r>
        <w:rPr>
          <w:color w:val="auto"/>
        </w:rPr>
      </w:r>
    </w:p>
    <w:p>
      <w:pPr>
        <w:ind w:firstLine="709"/>
        <w:jc w:val="both"/>
        <w:widowControl w:val="off"/>
        <w:rPr>
          <w:color w:val="auto"/>
        </w:rPr>
      </w:pPr>
      <w:r>
        <w:rPr>
          <w:color w:val="auto"/>
        </w:rPr>
        <w:t xml:space="preserve">Основные меропри</w:t>
      </w:r>
      <w:r>
        <w:rPr>
          <w:color w:val="auto"/>
        </w:rPr>
        <w:t xml:space="preserve">ятия инвестиционной программы АО «Байкалэнерго», в части обособленного подразделения «Тайшетские тепловые сети», осуществляющего регулируемый вид деятельности в сфере теплоснабжения, на 2022-2026 годы и прогноз до 2041 года, приводятся в Таблицах 16, 16.1.</w:t>
      </w:r>
      <w:r>
        <w:rPr>
          <w:color w:val="auto"/>
        </w:rPr>
      </w:r>
      <w:r>
        <w:rPr>
          <w:color w:val="auto"/>
        </w:rPr>
      </w:r>
    </w:p>
    <w:p>
      <w:pPr>
        <w:ind w:firstLine="709"/>
        <w:jc w:val="both"/>
        <w:widowControl w:val="off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ind w:firstLine="720"/>
        <w:jc w:val="right"/>
        <w:spacing w:line="100" w:lineRule="atLeast"/>
        <w:widowControl w:val="off"/>
        <w:rPr>
          <w:color w:val="auto"/>
        </w:rPr>
        <w:sectPr>
          <w:footnotePr/>
          <w:endnotePr/>
          <w:type w:val="nextPage"/>
          <w:pgSz w:w="11906" w:h="16838" w:orient="portrait"/>
          <w:pgMar w:top="1134" w:right="851" w:bottom="1134" w:left="1701" w:header="340" w:footer="0" w:gutter="0"/>
          <w:cols w:num="1" w:sep="0" w:space="708" w:equalWidth="1"/>
          <w:docGrid w:linePitch="360"/>
          <w:titlePg/>
        </w:sect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ind w:firstLine="720"/>
        <w:jc w:val="right"/>
        <w:spacing w:line="100" w:lineRule="atLeast"/>
        <w:widowControl w:val="off"/>
        <w:rPr>
          <w:color w:val="auto"/>
          <w:highlight w:val="none"/>
        </w:rPr>
      </w:pPr>
      <w:r>
        <w:rPr>
          <w:color w:val="auto"/>
          <w:highlight w:val="none"/>
        </w:rPr>
        <w:t xml:space="preserve">Таблица 16</w:t>
      </w:r>
      <w:r>
        <w:rPr>
          <w:color w:val="auto"/>
          <w:highlight w:val="none"/>
        </w:rPr>
      </w:r>
      <w:r>
        <w:rPr>
          <w:color w:val="auto"/>
          <w:highlight w:val="none"/>
        </w:rPr>
      </w:r>
    </w:p>
    <w:p>
      <w:pPr>
        <w:jc w:val="center"/>
        <w:spacing w:line="100" w:lineRule="atLeast"/>
        <w:widowControl w:val="off"/>
        <w:rPr>
          <w:color w:val="auto"/>
          <w:highlight w:val="none"/>
        </w:rPr>
      </w:pPr>
      <w:r>
        <w:rPr>
          <w:color w:val="auto"/>
          <w:highlight w:val="none"/>
        </w:rPr>
        <w:t xml:space="preserve">Перечень мероприятий по источникам тепловой энергии</w:t>
      </w:r>
      <w:r>
        <w:rPr>
          <w:color w:val="auto"/>
          <w:highlight w:val="none"/>
        </w:rPr>
      </w:r>
      <w:r>
        <w:rPr>
          <w:color w:val="auto"/>
          <w:highlight w:val="none"/>
        </w:rPr>
      </w:r>
    </w:p>
    <w:tbl>
      <w:tblPr>
        <w:tblW w:w="15689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1270"/>
        <w:gridCol w:w="5019"/>
        <w:gridCol w:w="18"/>
        <w:gridCol w:w="968"/>
        <w:gridCol w:w="18"/>
        <w:gridCol w:w="753"/>
        <w:gridCol w:w="18"/>
        <w:gridCol w:w="760"/>
        <w:gridCol w:w="7"/>
        <w:gridCol w:w="12"/>
        <w:gridCol w:w="759"/>
        <w:gridCol w:w="19"/>
        <w:gridCol w:w="759"/>
        <w:gridCol w:w="19"/>
        <w:gridCol w:w="912"/>
        <w:gridCol w:w="19"/>
        <w:gridCol w:w="867"/>
        <w:gridCol w:w="19"/>
        <w:gridCol w:w="864"/>
        <w:gridCol w:w="7"/>
        <w:gridCol w:w="12"/>
        <w:gridCol w:w="967"/>
        <w:gridCol w:w="19"/>
        <w:gridCol w:w="857"/>
        <w:gridCol w:w="19"/>
        <w:gridCol w:w="715"/>
        <w:gridCol w:w="7"/>
        <w:gridCol w:w="6"/>
      </w:tblGrid>
      <w:tr>
        <w:tblPrEx/>
        <w:trPr>
          <w:gridAfter w:val="1"/>
          <w:trHeight w:val="298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№ п/п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Наименование мероприятия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5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9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Планируемая потребность в финансовых средствах, тысяч рублей без учета НДС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315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98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Итого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5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Базовый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425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Первый 5-летний период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7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25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Последующие 5-летние периоды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81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98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2030-2034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2035-2039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2040-2041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15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Котельные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15"/>
        </w:trPr>
        <w:tc>
          <w:tcPr>
            <w:gridSpan w:val="3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307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1. Котельная № 1 (ТКСИ)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898662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5887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9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12937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54663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25839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95256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134666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112908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330090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126417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2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электрооборудования котельной: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80229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2141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33532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44555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1.1.1.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оборудования подстанции ТП-15-2/1600 (06379) 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80229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33532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44555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контрольно-измерительных приборов и автоматики котлов 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0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Дооборудование котельной 1-ой очереди автоматическими системами, обеспечивающими пожарную безопасность в соответствии с действующими нормами и правилами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12620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12620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ОПО. Котельная №1 первой очереди (12). Техническое перевооружение агрегата КЕ25-14 ст.№2 со вспомогательным оборудованием на котельной №1 (ТКСИ) (инвентарный №1000062)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77184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14155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15573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47456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ОПО. Котельная №1 первой очереди (12). Модернизация группы сетевых подогревателей с установкой подогревателей типа ПСВ-90-7-15 количестве 2 штук.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25150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1688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8569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14893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системы очистки сточных вод котельной 1-ой очереди с возможностью распространения основных технических решений на прочие теплоисточники ОП «ТТС» АО «Байкалэнерго»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114349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10266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12227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насоса ЦН 400/105 ст.№ 26 с установкой ЧРП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4941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922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4019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котельного агрегата КЕ-25-14 станционный № 3 для восстановления располагаемой мощности котельной № 1 и обеспечения перспективных нагрузок.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126417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126417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ОПО. Котельная №1 первой очереди (12). Модернизация прямого и обратного коллекторов группы сетевых насосов котельной №1 с целью увеличения пропускной способности для обеспечения перспективных нагрузок.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25758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1365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1875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22518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автотракторного бокса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35659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5659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железнодорожного пути необщего пользования, расположенного по адресу город Тайшет, улица Индустриальная, 3/9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оборудования здания дробильного отделения с 3-мя узлами пересыпки город Тайшет, улица Индустриальная, 3/2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192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здания дробильного отделения с 3-мя узлами пересыпки город Тайшет, улица Индустриальная, 3/2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здания гаража (пристрой к АБК)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30978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30978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"Реконструкция системы видеонаблюдения территории котельной 1-й очереди г. Тайшет, ул. Индустриальная, 3/1 (инв.№ 100004)""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1226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974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05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резервуара металлического (Бак аккумуляторный У-700), Котельной №1 (ТКСИ) (инв.№ 10027- Бак аккумуляторный У-700 м3)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44301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2123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42178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"Модернизация наружного освещения периметра котельной 1-й очереди г. Тайшет, ул. Индустриальная, 3/1 ОП "ТТС" АО "Байкалэнерго (инв.№ 100004)""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2601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2422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оборудования химлаборатории котельной 1-ой очереди (инв.№ 100004). Шкаф вытяжной ЛК-1200 ШВП.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560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560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конденсатных баков котельной 1-ой очереди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11410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2974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8436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деаэратора сетевого контура ДА-200 котельной 1-ой очереди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8396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8396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деаэратора котлового контура ДА-100 котельной 1-ой очереди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8396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8396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склада топлива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фильтров ХВО котлового контура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8430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981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3995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оборудования скалада реагентов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15"/>
        </w:trPr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89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2. Котельная № 2 (ШПЗ)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642975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4881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9910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32883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39012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110947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89204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114115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191787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50236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 котельная №2. Техническое перевооружение котельного агрегата КЕ 10-14С станционный №1 (ШПЗ) с приобретением и монтажом вспомогательного оборудования и шита </w:t>
            </w:r>
            <w:r>
              <w:rPr>
                <w:color w:val="auto"/>
                <w:sz w:val="22"/>
                <w:szCs w:val="22"/>
              </w:rPr>
              <w:t xml:space="preserve">управления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47002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3350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14906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28746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9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КИПиА. Создание щитов управления котлов паровых КЕ-10 14С станционный №2, ДКВр-20/13 станционный №3, станционный №4, станционный №5 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31255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31255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группы сетевых подогревателей. Замена подогревателей сетевой воды ПСВ 200-7-15 станционный № 7, ПСВ-90-7-15 станционный №9.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11509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3742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7767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золоуловителей МП-3100 к/а КЕ 10/14  станционный №2.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вспомогательного оборудования котельных агрегатов ДКВр 20/13 станционный № 3, 4, 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14100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охладителей выпара ОВА 16 (станционный №1, станционный № 2)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аспирационной установки топливоподачи станционный № 3 тракта углеподачи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2700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2700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тракта углеподачи (ограждающих конструктивных элементов и дренажной системы)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705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оборудования химводоподготовки. Замена фильтров ФИПа станционный №1, станционный №2, станционный №3, станционный №4.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11163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11163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15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питательных насосов котельной № 2. Замена питательных насосов (ЦНСг 60/231 станционный №1 - 1 шт., ЦНСГ-105-196 - 2 шт.) на современные энергоэффективные аналоги с применением ЧРП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резервуара металлического (стального бака-аккумулятора 2000м3 ст.№1)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44913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2735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42178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5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</w:t>
            </w:r>
            <w:r>
              <w:rPr>
                <w:color w:val="auto"/>
                <w:sz w:val="22"/>
                <w:szCs w:val="22"/>
              </w:rPr>
              <w:t xml:space="preserve">ция кровли котельной №2 ОП «ТТС» АО «Байкалэнерго» (котельная с четырьмя двухэтажными и тремя одноэтажными пристроями, с пристроем золоудаления и здания углеподачи, инв. № 91, расположенная по адресу: Иркутская обл., г. Тайшет, ул. Гагарина, 114»)»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5763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4881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системы пожаротушения галереи тракта углеподачи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Модерниазция здания котельной с устройством блочного санитарно-бытового помещения.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 "Котельная № 2" III класса опасности рег. № А67-01914-0014. Модернизация трубопровода пара от к/а №1, 2 (инв. №240/1) и трубопровода пара от к/а №3, 4, 5 (инв. №232/1) котельной №2 (ШПЗ). Устройство редукционной установки.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26549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19613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системы очистки сточных вод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112493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10266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12227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емкостей подпиточных горизонтальных ст.№ 1, ст.№ 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11717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8436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здания котельной и тракта топливоподачи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 котельная №2. Техническое перевооружение котельного агрегата ДКВр-20-13 станционный № 3 (ШПЗ) с приобретением и монтажом вспомогательного оборудования и шита </w:t>
            </w:r>
            <w:r>
              <w:rPr>
                <w:color w:val="auto"/>
                <w:sz w:val="22"/>
                <w:szCs w:val="22"/>
              </w:rPr>
              <w:t xml:space="preserve">управления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105248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4435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39708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61106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 котельная №2. Техническое перевооружение котельного агрегата ДКВр-20-13 станционный № 4 (ШПЗ) с приобретением и монтажом вспомогательного оборудования и шита управления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105248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4435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39708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61106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45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2.21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Реконструкция и модернизация электрооборудования котельной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50847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7475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25788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17584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2.21.1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и модернизация электрооборудования котельной № 2 (ШПЗ) . Модернизация сооружения - воздушной линии электроснабжения котельной котельной № 2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1579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2157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2.21.2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и модернизация электрооборудования котельной № 2 (ШПЗ). Модернизация ячеек КСО-298 (9 штук) и КСО-272 (2 ячейки).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16960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1532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15428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2.21.3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и модернизация электрооборудования котельной № 2 (ШПЗ). Модернизация трансформаторных подстанций ТП-1 и ТП-2.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26854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2249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24605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2.21.4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и модернизация электрооборудования котельной № 2 (ШПЗ). Модернизация распределительного устройства РУ 0,4 кВ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15"/>
        </w:trPr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89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3. Котельная № 3 (Мелькомбинат)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99674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2402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3643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476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18356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22383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32914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15500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Дооборудование котельной №3 автоматическими системами, обеспечивающими пожарную безопасность в соответствии с действующими нормами и </w:t>
            </w:r>
            <w:r>
              <w:rPr>
                <w:color w:val="auto"/>
                <w:sz w:val="22"/>
                <w:szCs w:val="22"/>
              </w:rPr>
              <w:t xml:space="preserve">правилами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системы очистки сточных вод котельной № 3 ОП "ТТС"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44398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1484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18914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«Техническое перевооружение ОПО котельная №3 «Мелькомбинат». Модернизация главного паропровода от котлоагрегатов (от теплообменников). Устройство редукционной установки. (инвентарный № 40118/1)»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5037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918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3643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подпиточной емкости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7897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емкости сырой воды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5841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насосного оборудования (питательные, сетевые насосы)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фильтров ХВО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вспомогательного оборудования котельных агрегатов ДКВр 6,5/13 станционный № 1, № 2.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15"/>
        </w:trPr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89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4. Котельная № 4 (Экспедиции № 5)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18058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447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2608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2191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6030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1381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насосного оборудования сетевой группы котельной № 4 (замена физически изношенных и морально устаревших насосных агрегатов Д250/50)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821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1381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котельной №4 (Экспедиция №5). Приобретение и монтаж котельного агрегата КВМ-1,25 взамен отработавшего нормативный срок КВМ-1,25. (инвентарный №10028Т)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1805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1805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"Модернизация газоходов котельной №4. Устройство газоочистного оборудования." (с ПИР) (инв. №б/н)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1651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803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емкости сырой воды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5588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1370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4218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вспомогательного оборудования котельных агрегатов станционный № 1, № 2.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2"/>
        </w:trPr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89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5. Котельная № 5 (Совхоз)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41114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1443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38290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1381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основного и вспомогательного оборудования котельной № 5. Приобретение и монтаж автоматической угольной блочно-модульной котельной.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30043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30043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сетевых насосов. Замена физически изношенных насосов сетевых КМ-100-65-200 - станционный №1, станционный № 2 котельной № 5 на современные аналоги с частотно-регулируемым приводом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4014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821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1381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котельной №5. Приобретение и монтаж котельного агрегата  взамен отработавшего нормативный срок КВм-1,25 (со вспомогательным оборудованием)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5030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5030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газоходов котельной №5. Устройство газоочистного оборудования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622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1404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48"/>
        </w:trPr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89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6. Прочие мероприятия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4588516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6453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13444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36031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176330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333970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4022289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Площадка размещения золошлаковых отходов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50000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и монтаж блочно-модульного санитарно-бытового помещения для участка тепловых сетей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спецтехники с целью обеспечения надежности теплоснабжения Бульдозер SHANTUI SD-16 (или аналог)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13444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13444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283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спецтехники с целью обеспечения надежности теплоснабжения. Приобретение машины Камаз для транспортирования ЗШО до площадки </w:t>
            </w:r>
            <w:r>
              <w:rPr>
                <w:color w:val="auto"/>
                <w:sz w:val="22"/>
                <w:szCs w:val="22"/>
              </w:rPr>
              <w:t xml:space="preserve">временного накопления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6453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6453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спецтехники с целью обеспечения надежности теплоснабжения. Приобретение кран-манипуляторной установки на базе КАМАЗ (или аналог)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16031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16030,8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спецтехники с целью обеспечения надежности теплоснабжения Фронтальный погрузчик XCMG LW300FN (или аналог)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6697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6697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спецтехники с целью обеспечения надежности теплоснабжения Самосвал (или аналог)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13970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13970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6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«Блочно-модульная котельная на твердом топливе, теплопроизводительностью 12 Гкал/ч до 20 Гкал/ч в село Старый Акульшет Тайшетского </w:t>
            </w:r>
            <w:r>
              <w:rPr>
                <w:color w:val="auto"/>
                <w:sz w:val="22"/>
                <w:szCs w:val="22"/>
              </w:rPr>
              <w:t xml:space="preserve">района» новое строительство с целью обеспечения резервного теплоснабжения микрорайона Центральный город Тайшет, а также обеспечение технической возможности технологического присоединения вновь строящихся объектов к тепловым сетям ОП «ТТС» АО «Байкалэнерго»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499633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49633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котельной мощностью 56 Гкал/ч взамен отработавшей нормативный срок котельной № 2 (ШПЗ)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2051704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1921704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блока водогрейных котлов мощностью 50 Гкал/ч с целью обеспечения с целью обеспечения перспективных нагрузок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1925585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1795585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0" w:type="dxa"/>
            <w:vAlign w:val="center"/>
            <w:textDirection w:val="lrTb"/>
            <w:noWrap w:val="false"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 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19" w:type="dxa"/>
            <w:vAlign w:val="center"/>
            <w:textDirection w:val="lrTb"/>
            <w:noWrap w:val="false"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Всего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6288999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13617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35551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88423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82295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245867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462875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586137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4582080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192153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</w:tbl>
    <w:p>
      <w:pPr>
        <w:jc w:val="center"/>
        <w:spacing w:line="100" w:lineRule="atLeast"/>
        <w:widowControl w:val="off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ind w:firstLine="720"/>
        <w:jc w:val="right"/>
        <w:spacing w:line="100" w:lineRule="atLeast"/>
        <w:widowControl w:val="off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ind w:firstLine="720"/>
        <w:jc w:val="right"/>
        <w:spacing w:line="100" w:lineRule="atLeast"/>
        <w:widowControl w:val="off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ind w:firstLine="720"/>
        <w:jc w:val="right"/>
        <w:spacing w:line="100" w:lineRule="atLeast"/>
        <w:widowControl w:val="off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ind w:firstLine="720"/>
        <w:jc w:val="right"/>
        <w:spacing w:line="100" w:lineRule="atLeast"/>
        <w:widowControl w:val="off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ind w:firstLine="720"/>
        <w:jc w:val="right"/>
        <w:spacing w:line="100" w:lineRule="atLeast"/>
        <w:widowControl w:val="off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ind w:firstLine="720"/>
        <w:jc w:val="right"/>
        <w:spacing w:line="100" w:lineRule="atLeast"/>
        <w:widowControl w:val="off"/>
        <w:rPr>
          <w:color w:val="auto"/>
        </w:rPr>
      </w:pPr>
      <w:r>
        <w:rPr>
          <w:color w:val="auto"/>
        </w:rPr>
        <w:t xml:space="preserve">Таблица 16.1</w:t>
      </w:r>
      <w:r>
        <w:rPr>
          <w:color w:val="auto"/>
        </w:rPr>
      </w:r>
      <w:r>
        <w:rPr>
          <w:color w:val="auto"/>
        </w:rPr>
      </w:r>
    </w:p>
    <w:p>
      <w:pPr>
        <w:ind w:firstLine="720"/>
        <w:jc w:val="center"/>
        <w:spacing w:line="100" w:lineRule="atLeast"/>
        <w:widowControl w:val="off"/>
        <w:rPr>
          <w:color w:val="auto"/>
        </w:rPr>
      </w:pPr>
      <w:r>
        <w:rPr>
          <w:color w:val="auto"/>
        </w:rPr>
        <w:t xml:space="preserve">Перечень мероприятий по тепловым сетям</w:t>
      </w:r>
      <w:r>
        <w:rPr>
          <w:color w:val="auto"/>
        </w:rPr>
      </w:r>
      <w:r>
        <w:rPr>
          <w:color w:val="auto"/>
        </w:rPr>
      </w:r>
    </w:p>
    <w:p>
      <w:pPr>
        <w:ind w:firstLine="720"/>
        <w:jc w:val="center"/>
        <w:spacing w:line="100" w:lineRule="atLeast"/>
        <w:widowControl w:val="off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tbl>
      <w:tblPr>
        <w:tblW w:w="15761" w:type="dxa"/>
        <w:tblInd w:w="113" w:type="dxa"/>
        <w:tblLook w:val="04A0" w:firstRow="1" w:lastRow="0" w:firstColumn="1" w:lastColumn="0" w:noHBand="0" w:noVBand="1"/>
      </w:tblPr>
      <w:tblGrid>
        <w:gridCol w:w="704"/>
        <w:gridCol w:w="4241"/>
        <w:gridCol w:w="1195"/>
        <w:gridCol w:w="1088"/>
        <w:gridCol w:w="1462"/>
        <w:gridCol w:w="812"/>
        <w:gridCol w:w="766"/>
        <w:gridCol w:w="996"/>
        <w:gridCol w:w="876"/>
        <w:gridCol w:w="876"/>
        <w:gridCol w:w="993"/>
        <w:gridCol w:w="876"/>
        <w:gridCol w:w="870"/>
        <w:gridCol w:w="6"/>
      </w:tblGrid>
      <w:tr>
        <w:tblPrEx/>
        <w:trPr>
          <w:gridAfter w:val="1"/>
          <w:trHeight w:val="57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№ п/п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Наименование мероприятия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1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Планируемая потребность в финансовых средствах, тыс.рублей без учета НДС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57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Итого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Базовый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none" w:color="000000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Переходный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5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2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Первый 5-летний период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73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Последующие 5-летние периоды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57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2030-2034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2035-2039 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2040-2041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4885" w:type="dxa"/>
            <w:vAlign w:val="center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 Строительство тепловых сетей для обеспечения перспективных приростов тепловой нагрузки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от ТК -12 ТС-7 (инв. № Ю01132096) котельной № 1 до ТК12-2, от ТК-12-2 до границы земельного участка 38:29:011003:29 (микрорайон Центральный).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37189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37189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от ТК-12-2 (проект.) до границы земельного участка 38:29:011003:180 (общеобразовательная школа на 1275 мест). Характеристики уточняются проектом.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20503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19009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1394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котельной № 1 от ТК-9-7 до границы земельного участка 38:29:011001:85 (ОВД) диаметром 133 мм, ориентировочной протяженностью 22 метра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 до границы земельного участка 38:29:000000:46 (Детский сад РУСАЛ))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16468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1468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до границы земельного участка жилого микрорайона «РУСАЛквартАЛ» ООО «РУСАЛ Тайшетский алюминиевый завод» в селе Старый –Акульшет.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136325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5256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131069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 до границы земельного участка 38:29:011001:2076 (Каток РУСАЛ))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12389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2389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45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488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 Строительство тепловых сетей, обеспечивающих условия,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8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Участок тепловой сети от ТК-9 до ТК-9-7, организация перемычки от ТК-9-7 до ТС-12 (инвентарный № Ю0</w:t>
            </w:r>
            <w:r>
              <w:rPr>
                <w:color w:val="auto"/>
                <w:sz w:val="22"/>
                <w:szCs w:val="22"/>
              </w:rPr>
              <w:t xml:space="preserve">1132096). Реконструкция: Строительство тепловой сети диаметром 300мм протяженностью 327 метров от ТК-9-7 ТС-7 котельной № 1 (инвентарный № Ю01132096) до тепловой сети ТС-12 котельной № 2 (инвентарный № Ю01132096) диаметром 300 мм протяженностью 327 метров.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206213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196725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4885" w:type="dxa"/>
            <w:vAlign w:val="center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 Реконструкция тепловых сетей, подлежащих замене в связи с исчерпанием эксплуатационного ресурса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ТС-27 электрокотельной ДТВ ОАО «РЖД» от ТК-40  до жилого дом по улице Осипенко, 2  (инвентарный № Ю01132126) протяженностью 460 метров  с изменением диаметра согласно проектной документации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37747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5297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32450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ТС-6 котельной № 1 от вертикального компенсатора К-7 до К-10 по улице Индустриальной (инвентарный № Ю01132095) диаметром 700 мм протяженностью 291 метр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29557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16413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12082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ТС-6 котельной №1 от вертикального компенсатора К-12 до ТК-3 по улице Индустриальной (инвентарный № Ю01132095) диаметром 700 мм протяженностью 277 метров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24882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13152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10426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от ТК-5-15 до ТК-5-24 по ул. Зои Космодемьянской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41988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13854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26892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ТС-20 котельной № 2 от ТК-11-3 до жилого дома по улице Крупской, 92  (инвентарный № Ю01132119) диаметром 150 мм протяженностью 215 метров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23227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23227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тепловой сети по улице Транспортной от ТК-2 до ТК-3 от котельной №2 (инвентарный № Ю01132108) протяженностью 214 метров, с изменением диаметра с 400 мм до 500 мм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19356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19356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тепловой сети котельной № 2 от ТК3-4 до ТК3-12 по улице Терешковой (ТС-11, инвентарный № Ю01132111)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81272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4556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572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766" w:type="dxa"/>
            <w:vAlign w:val="bottom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36144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ТС-12 от ТК-3-12 до ТК3-18 (инвентарный № Ю01132112) с увеличением диаметра.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46540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6540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тепловой сети котельной № 1 по улице Полевой (частный сектор) диаметром 150 мм протяженностью 159 метров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25787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5787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от котельной № 4 до ТК-3 по улице Новой (инвентарный № Ю01132103) протяженностью 195 метров  с изменением диаметра согласно проектной документации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38140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4140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83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участков тепловой сети ТС-22 котельной № 2  от ТК-30 до ТК-34 (инвентарный № Ю01132121) диаметром 300 мм </w:t>
            </w:r>
            <w:r>
              <w:rPr>
                <w:color w:val="auto"/>
                <w:sz w:val="22"/>
                <w:szCs w:val="22"/>
              </w:rPr>
              <w:t xml:space="preserve">протяженностью 175 метров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61795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5795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56000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и техническое перевооружение ветхих тепловых сетей в объеме 5 %.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2549233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218742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299241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175984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927633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927633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от ТК-6 до ТК-9 котельной № 5 (Совхоз)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30284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bottom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bottom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3028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17256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4885" w:type="dxa"/>
            <w:vAlign w:val="center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 Реконструкция тепловых сетей с увеличением диаметра трубопроводов для обеспечения перспективных приростов тепловой нагрузки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567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4.1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Реконструкция участка тепловой сети ТС-7 котельной № 1  (инв. № Ю01132096) от района П-образного компенсатора К-24 + 54,50 м (секционирующий узел УТ1) до ТК-12 (характеристики уточняются проектом), в т.ч: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281078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67966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72986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25788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20000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85247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4.1.1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ТС-7 от УТ1 до ТК5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105247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85247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4.1.2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ТС-7  от ТК5 до ТК9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105331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6557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72986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25788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4.1.3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ТС-7 от ТК9 до ТК12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70500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61409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ТС-7 от угла поворота сети УП15+5м до района П-образного компенсатора К-24 + 54,50 м (секционирующий узел УТ1)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101069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2706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53551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Установка регулирующих балансировочных клапанов на ответвлениях от магистральных и внутриквартальных трубопроводов.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ТС-6 котельной № 1 от компенсатора К-1 до К-3 (инвентарный № Ю01132095) протяженность и диаметр уточняются </w:t>
            </w:r>
            <w:r>
              <w:rPr>
                <w:color w:val="auto"/>
                <w:sz w:val="22"/>
                <w:szCs w:val="22"/>
              </w:rPr>
              <w:t xml:space="preserve">проектом.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112594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5848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1646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29830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33056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42214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Установка повышающей насосной станции  в районе тепловой камеры ТК-5 тепловой сети ТС-7 (инвентарный № Ю01132096) (при обосновании)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78000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bottom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Итого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4018451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124194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bottom"/>
            <w:textDirection w:val="lrTb"/>
            <w:noWrap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114952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78427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52797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330273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589559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355432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505936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927633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927633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</w:tbl>
    <w:p>
      <w:pPr>
        <w:ind w:firstLine="720"/>
        <w:jc w:val="center"/>
        <w:spacing w:line="100" w:lineRule="atLeast"/>
        <w:widowControl w:val="off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ind w:firstLine="720"/>
        <w:jc w:val="center"/>
        <w:spacing w:line="100" w:lineRule="atLeast"/>
        <w:widowControl w:val="off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ind w:firstLine="720"/>
        <w:jc w:val="center"/>
        <w:spacing w:line="100" w:lineRule="atLeast"/>
        <w:widowControl w:val="off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ind w:firstLine="720"/>
        <w:jc w:val="center"/>
        <w:spacing w:line="100" w:lineRule="atLeast"/>
        <w:widowControl w:val="off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ind w:firstLine="720"/>
        <w:jc w:val="center"/>
        <w:spacing w:line="100" w:lineRule="atLeast"/>
        <w:widowControl w:val="off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ind w:firstLine="720"/>
        <w:jc w:val="center"/>
        <w:spacing w:line="100" w:lineRule="atLeast"/>
        <w:widowControl w:val="off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ind w:firstLine="720"/>
        <w:jc w:val="center"/>
        <w:spacing w:line="100" w:lineRule="atLeast"/>
        <w:widowControl w:val="off"/>
      </w:pPr>
      <w:r/>
      <w:r/>
    </w:p>
    <w:p>
      <w:pPr>
        <w:ind w:firstLine="720"/>
        <w:jc w:val="center"/>
        <w:spacing w:line="100" w:lineRule="atLeast"/>
        <w:widowControl w:val="off"/>
      </w:pPr>
      <w:r/>
      <w:r/>
    </w:p>
    <w:p>
      <w:pPr>
        <w:ind w:firstLine="567"/>
        <w:jc w:val="both"/>
        <w:spacing w:before="120"/>
        <w:widowControl w:val="off"/>
        <w:sectPr>
          <w:footnotePr/>
          <w:endnotePr/>
          <w:type w:val="nextPage"/>
          <w:pgSz w:w="16838" w:h="11906" w:orient="landscape"/>
          <w:pgMar w:top="709" w:right="851" w:bottom="851" w:left="851" w:header="340" w:footer="0" w:gutter="0"/>
          <w:cols w:num="1" w:sep="0" w:space="708" w:equalWidth="1"/>
          <w:docGrid w:linePitch="360"/>
          <w:titlePg/>
        </w:sectPr>
      </w:pPr>
      <w:r/>
      <w:r/>
    </w:p>
    <w:p>
      <w:pPr>
        <w:ind w:firstLine="709"/>
        <w:jc w:val="both"/>
        <w:keepLines/>
        <w:keepNext/>
        <w:widowControl w:val="off"/>
        <w:rPr>
          <w:bCs/>
        </w:rPr>
      </w:pPr>
      <w:r/>
      <w:bookmarkStart w:id="13" w:name="_Toc149054970"/>
      <w:r>
        <w:rPr>
          <w:bCs/>
        </w:rPr>
        <w:t xml:space="preserve">4.2. Обоснование выбора приоритетного сценария развития теплоснабжения Тайшетского муниципального образования «Тайшетское городское поселение»</w:t>
      </w:r>
      <w:bookmarkEnd w:id="13"/>
      <w:r>
        <w:rPr>
          <w:bCs/>
        </w:rPr>
      </w:r>
      <w:r>
        <w:rPr>
          <w:bCs/>
        </w:rPr>
      </w:r>
    </w:p>
    <w:p>
      <w:pPr>
        <w:ind w:firstLine="709"/>
        <w:jc w:val="both"/>
        <w:widowControl w:val="off"/>
      </w:pPr>
      <w:r>
        <w:t xml:space="preserve">Схемой теплоснабжения предлагается выполнить перевод существующи</w:t>
      </w:r>
      <w:r>
        <w:t xml:space="preserve">х открытых систем теплоснабжения (горячего водоснабжения) в закрытые системы горячего водоснабжения, для осуществления которого необходимо строительство индивидуальных тепловых пунктов при наличии у потребителей внутридомовых систем горячего водоснабжения.</w:t>
      </w:r>
      <w:r/>
    </w:p>
    <w:p>
      <w:pPr>
        <w:ind w:firstLine="709"/>
        <w:jc w:val="both"/>
        <w:widowControl w:val="off"/>
      </w:pPr>
      <w:r>
        <w:t xml:space="preserve">Актуальность перевода открытых систем горячего водоснабжения на закрытые, обусловлена следующим:</w:t>
      </w:r>
      <w:r/>
    </w:p>
    <w:p>
      <w:pPr>
        <w:ind w:firstLine="709"/>
        <w:jc w:val="both"/>
        <w:widowControl w:val="off"/>
      </w:pPr>
      <w:r>
        <w:t xml:space="preserve">в случае открытой системы технологическая возможность поддержания температурного графика при переходных температурах с помощью подогревателей отопления отсутствует и наличие излома для нужд горячего водоснабжения приводит к «перетопам» в помещениях зданий;</w:t>
      </w:r>
      <w:r/>
    </w:p>
    <w:p>
      <w:pPr>
        <w:ind w:firstLine="709"/>
        <w:jc w:val="both"/>
        <w:widowControl w:val="off"/>
      </w:pPr>
      <w:r>
        <w:t xml:space="preserve">существует перегрев горячей воды при эксплуатации открытой системы теплоснабжения без регулятора температуры горячей воды, которая фактически соответствует температуре воды в подающей линии тепловой сети.</w:t>
      </w:r>
      <w:r/>
    </w:p>
    <w:p>
      <w:pPr>
        <w:ind w:firstLine="709"/>
        <w:jc w:val="both"/>
        <w:widowControl w:val="off"/>
      </w:pPr>
      <w:r>
        <w:t xml:space="preserve">Переход на закрытую схему присоединения систем горячего водоснабжения позволит обеспечить:</w:t>
      </w:r>
      <w:r/>
    </w:p>
    <w:p>
      <w:pPr>
        <w:ind w:firstLine="709"/>
        <w:jc w:val="both"/>
        <w:widowControl w:val="off"/>
      </w:pPr>
      <w:r>
        <w:t xml:space="preserve">снижение расхода тепла на отопление и горячее водоснабжение за счет перевода на качественно-количественное регулирование температуры теплоносителя в соответствии с температурным графиком;</w:t>
      </w:r>
      <w:r/>
    </w:p>
    <w:p>
      <w:pPr>
        <w:ind w:firstLine="709"/>
        <w:jc w:val="both"/>
        <w:widowControl w:val="off"/>
      </w:pPr>
      <w:r>
        <w:t xml:space="preserve">снижение внутренней коррозии трубопроводов и отложения солей;</w:t>
      </w:r>
      <w:r/>
    </w:p>
    <w:p>
      <w:pPr>
        <w:ind w:firstLine="709"/>
        <w:jc w:val="both"/>
        <w:widowControl w:val="off"/>
      </w:pPr>
      <w:r>
        <w:t xml:space="preserve">снижение темпов износа оборудования котельных;</w:t>
      </w:r>
      <w:r/>
    </w:p>
    <w:p>
      <w:pPr>
        <w:ind w:firstLine="709"/>
        <w:jc w:val="both"/>
        <w:widowControl w:val="off"/>
      </w:pPr>
      <w:r>
        <w:t xml:space="preserve">улучшение качества теплоснабжения потребителей, исчезновение «перетопов» во время положительных температур наружного воздуха в отопительный период;</w:t>
      </w:r>
      <w:r/>
    </w:p>
    <w:p>
      <w:pPr>
        <w:ind w:firstLine="709"/>
        <w:jc w:val="both"/>
        <w:widowControl w:val="off"/>
      </w:pPr>
      <w:r>
        <w:t xml:space="preserve">снижение затрат по химводоподготовке подпиточной воды на источниках теплоснабжения;</w:t>
      </w:r>
      <w:r/>
    </w:p>
    <w:p>
      <w:pPr>
        <w:ind w:firstLine="709"/>
        <w:jc w:val="both"/>
        <w:widowControl w:val="off"/>
      </w:pPr>
      <w:r>
        <w:t xml:space="preserve">снижение аварийности систем теплоснабжения.</w:t>
      </w:r>
      <w:r/>
    </w:p>
    <w:p>
      <w:pPr>
        <w:ind w:firstLine="709"/>
        <w:jc w:val="both"/>
        <w:widowControl w:val="off"/>
      </w:pPr>
      <w:r>
        <w:t xml:space="preserve">В условиях отсутствия на территории Тайшетского городского поселения цент</w:t>
      </w:r>
      <w:r>
        <w:t xml:space="preserve">ральных тепловых пунктов закрытие систем теплоснабжения представляется целесообразным путем модернизации внутридомового инженерного оборудования. В первую очередь это связано с реализацией технических мероприятий на внутридомовых системах теплопотребления.</w:t>
      </w:r>
      <w:r/>
    </w:p>
    <w:p>
      <w:pPr>
        <w:ind w:firstLine="709"/>
        <w:jc w:val="both"/>
        <w:widowControl w:val="off"/>
      </w:pPr>
      <w:r>
        <w:t xml:space="preserve">Следует отметить, что закрытие системы теплоснабжения существенно увеличит нагрузку на городскую сис</w:t>
      </w:r>
      <w:r>
        <w:t xml:space="preserve">тему централизованного водоснабжения, которая должна будет обеспечить необходимый дополнительный объем воды для горячего водоснабжения. В связи с этим необходимые мероприятия должны быть предусмотрены в схеме водоснабжения Тайшетского городского поселения.</w:t>
      </w:r>
      <w:r/>
    </w:p>
    <w:p>
      <w:pPr>
        <w:ind w:firstLine="709"/>
        <w:jc w:val="both"/>
        <w:rPr>
          <w:rFonts w:asciiTheme="minorHAnsi" w:hAnsiTheme="minorHAnsi" w:eastAsiaTheme="minorHAnsi" w:cstheme="minorBidi"/>
          <w:sz w:val="22"/>
          <w:szCs w:val="22"/>
          <w:lang w:eastAsia="en-US"/>
        </w:rPr>
      </w:pPr>
      <w:r>
        <w:rPr>
          <w:rFonts w:eastAsiaTheme="minorEastAsia"/>
        </w:rPr>
        <w:t xml:space="preserve">Учитывая то, что с 1 января 2022 года вступил в силу Федеральный закон Российской Федерации от 30 декабря 2021 года №438-ФЗ «О внесении изменений в Федеральный закон «О теплоснабжении», которым </w:t>
      </w:r>
      <w:r>
        <w:t xml:space="preserve">с 1 января 2022 года </w:t>
      </w:r>
      <w:r>
        <w:rPr>
          <w:rFonts w:eastAsiaTheme="minorHAnsi"/>
          <w:lang w:eastAsia="en-US"/>
        </w:rPr>
        <w:t xml:space="preserve">отменяется обязательное переоборудование открытых систем горячего водоснабжения в закрытые, </w:t>
      </w:r>
      <w:r>
        <w:rPr>
          <w:rFonts w:eastAsiaTheme="minorEastAsia"/>
        </w:rPr>
        <w:t xml:space="preserve">решения по возможному переходу на закрытую систему теплоснабжения (горячего водоснабжения) для потребителей города Тайшет подлежат разработке и оценке, возможно при выполнении следующих актуализаций схемы теплоснабжения.</w:t>
      </w:r>
      <w:r>
        <w:rPr>
          <w:rFonts w:asciiTheme="minorHAnsi" w:hAnsiTheme="minorHAnsi" w:eastAsiaTheme="minorHAnsi" w:cstheme="minorBidi"/>
          <w:sz w:val="22"/>
          <w:szCs w:val="22"/>
          <w:lang w:eastAsia="en-US"/>
        </w:rPr>
      </w:r>
      <w:r>
        <w:rPr>
          <w:rFonts w:asciiTheme="minorHAnsi" w:hAnsiTheme="minorHAnsi" w:eastAsiaTheme="minorHAnsi" w:cstheme="minorBidi"/>
          <w:sz w:val="22"/>
          <w:szCs w:val="22"/>
          <w:lang w:eastAsia="en-US"/>
        </w:rPr>
      </w:r>
    </w:p>
    <w:p>
      <w:pPr>
        <w:jc w:val="center"/>
        <w:rPr>
          <w:bCs/>
          <w:caps/>
          <w:szCs w:val="26"/>
        </w:rPr>
      </w:pPr>
      <w:r>
        <w:rPr>
          <w:bCs/>
          <w:caps/>
          <w:szCs w:val="26"/>
        </w:rPr>
      </w:r>
      <w:r>
        <w:rPr>
          <w:bCs/>
          <w:caps/>
          <w:szCs w:val="26"/>
        </w:rPr>
      </w:r>
      <w:r>
        <w:rPr>
          <w:bCs/>
          <w:caps/>
          <w:szCs w:val="26"/>
        </w:rPr>
      </w:r>
    </w:p>
    <w:p>
      <w:pPr>
        <w:jc w:val="center"/>
        <w:rPr>
          <w:bCs/>
          <w:caps/>
          <w:szCs w:val="26"/>
        </w:rPr>
      </w:pPr>
      <w:r>
        <w:rPr>
          <w:bCs/>
          <w:caps/>
          <w:szCs w:val="26"/>
        </w:rPr>
        <w:t xml:space="preserve">РАЗДЕЛ 5. ПРЕДЛОЖЕНИЯ ПО СТРОИТЕЛЬСТВУ, РЕКОНСТРУКЦИИ, ТЕХНИЧЕСКОМУ ПЕРЕВООРУЖЕНИЮ И МОДЕРНИЗАЦИИ ИСТОЧНИКОВ ТЕПЛОВОЙ ЭНЕРГИИ</w:t>
      </w:r>
      <w:bookmarkStart w:id="14" w:name="_Toc149054971"/>
      <w:r>
        <w:rPr>
          <w:bCs/>
          <w:caps/>
          <w:szCs w:val="26"/>
        </w:rPr>
      </w:r>
      <w:r>
        <w:rPr>
          <w:bCs/>
          <w:caps/>
          <w:szCs w:val="26"/>
        </w:rPr>
      </w:r>
    </w:p>
    <w:p>
      <w:pPr>
        <w:ind w:firstLine="709"/>
        <w:jc w:val="both"/>
        <w:rPr>
          <w:bCs/>
          <w:shd w:val="clear" w:color="auto" w:fill="ffffff"/>
        </w:rPr>
      </w:pPr>
      <w:r>
        <w:rPr>
          <w:bCs/>
        </w:rPr>
        <w:t xml:space="preserve">5.1. </w:t>
      </w:r>
      <w:r>
        <w:rPr>
          <w:bCs/>
          <w:shd w:val="clear" w:color="auto" w:fill="ffffff"/>
        </w:rPr>
        <w:t xml:space="preserve">Предложения по строительству источников тепловой энергии, обеспечивающих перспективную тепловую нагрузку на осваиваемых территориях Тайшетского муниципального образования «Тайшетское городское поселение», для </w:t>
      </w:r>
      <w:r>
        <w:rPr>
          <w:bCs/>
          <w:shd w:val="clear" w:color="auto" w:fill="ffffff"/>
        </w:rPr>
        <w:t xml:space="preserve">которых отсутствует возможность и целесообразность передачи тепловой энергии от существующих или реконструируемых источников тепловой энергии, обоснованная расчетами ценовых (тарифных) последствий для потребителей и радиуса эффективного теплоснабжения</w:t>
      </w:r>
      <w:bookmarkEnd w:id="14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Перспективная тепловая нагрузка на осваиваемых территориях Тайшетского городского поселения в соответствии с расчетом радиусов эффективного теплоснабжения </w:t>
      </w:r>
      <w:r>
        <w:rPr>
          <w:rFonts w:eastAsia="Calibri"/>
          <w:lang w:eastAsia="en-US"/>
        </w:rPr>
        <w:t xml:space="preserve">муниципальных котельных Тайшетского городского поселения</w:t>
      </w:r>
      <w:r>
        <w:rPr>
          <w:shd w:val="clear" w:color="auto" w:fill="ffffff"/>
        </w:rPr>
        <w:t xml:space="preserve"> на пер</w:t>
      </w:r>
      <w:r>
        <w:rPr>
          <w:shd w:val="clear" w:color="auto" w:fill="ffffff"/>
        </w:rPr>
        <w:t xml:space="preserve">спективу будет компенсироваться существующими по состоянию на отчетный (базовый) 2022 год муниципальными котельными. Строительство новых дополнительных источников тепловой энергии на территории муниципального образования на базовый 2022 год не планируется.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keepLines/>
        <w:keepNext/>
        <w:widowControl w:val="off"/>
        <w:rPr>
          <w:bCs/>
        </w:rPr>
      </w:pPr>
      <w:r/>
      <w:bookmarkStart w:id="15" w:name="_Toc149054972"/>
      <w:r>
        <w:rPr>
          <w:bCs/>
        </w:rPr>
        <w:t xml:space="preserve">5.2. Предложения по реконструкции источников тепловой энергии, обеспечивающих перспективную тепловую нагрузку в существующих и расширяемых зонах действия источников тепловой энергии</w:t>
      </w:r>
      <w:bookmarkEnd w:id="15"/>
      <w:r>
        <w:rPr>
          <w:bCs/>
        </w:rPr>
      </w:r>
      <w:r>
        <w:rPr>
          <w:bCs/>
        </w:rPr>
      </w:r>
    </w:p>
    <w:p>
      <w:pPr>
        <w:ind w:firstLine="709"/>
        <w:jc w:val="both"/>
        <w:widowControl w:val="off"/>
        <w:rPr>
          <w:spacing w:val="-1"/>
          <w:shd w:val="clear" w:color="auto" w:fill="ffffff"/>
          <w:lang w:eastAsia="en-US"/>
        </w:rPr>
      </w:pPr>
      <w:r>
        <w:rPr>
          <w:spacing w:val="-1"/>
          <w:shd w:val="clear" w:color="auto" w:fill="ffffff"/>
          <w:lang w:eastAsia="en-US"/>
        </w:rPr>
        <w:t xml:space="preserve">Для покрытия перспективной тепловой нагрузки, не обеспеченной тепловой мощностью, предусматриваются мероприятия по реконструкции источников теплоснабжения, которые приведены в Таблице  17.</w:t>
      </w:r>
      <w:r>
        <w:rPr>
          <w:spacing w:val="-1"/>
          <w:shd w:val="clear" w:color="auto" w:fill="ffffff"/>
          <w:lang w:eastAsia="en-US"/>
        </w:rPr>
      </w:r>
      <w:r>
        <w:rPr>
          <w:spacing w:val="-1"/>
          <w:shd w:val="clear" w:color="auto" w:fill="ffffff"/>
          <w:lang w:eastAsia="en-US"/>
        </w:rPr>
      </w:r>
    </w:p>
    <w:p>
      <w:pPr>
        <w:ind w:firstLine="709"/>
        <w:jc w:val="right"/>
        <w:widowControl w:val="off"/>
        <w:rPr>
          <w:color w:val="auto"/>
          <w:spacing w:val="-1"/>
          <w:shd w:val="clear" w:color="auto" w:fill="ffffff"/>
        </w:rPr>
      </w:pPr>
      <w:r>
        <w:rPr>
          <w:color w:val="auto"/>
          <w:spacing w:val="-1"/>
          <w:shd w:val="clear" w:color="auto" w:fill="ffffff"/>
          <w:lang w:eastAsia="en-US"/>
        </w:rPr>
        <w:t xml:space="preserve">Таблица 17</w:t>
      </w:r>
      <w:r>
        <w:rPr>
          <w:color w:val="auto"/>
          <w:spacing w:val="-1"/>
          <w:shd w:val="clear" w:color="auto" w:fill="ffffff"/>
        </w:rPr>
      </w:r>
      <w:r>
        <w:rPr>
          <w:color w:val="auto"/>
          <w:spacing w:val="-1"/>
          <w:shd w:val="clear" w:color="auto" w:fill="ffffff"/>
        </w:rPr>
      </w:r>
    </w:p>
    <w:p>
      <w:pPr>
        <w:jc w:val="center"/>
        <w:widowControl w:val="off"/>
        <w:rPr>
          <w:color w:val="auto"/>
          <w:spacing w:val="-1"/>
          <w:shd w:val="clear" w:color="auto" w:fill="ffffff"/>
        </w:rPr>
      </w:pPr>
      <w:r>
        <w:rPr>
          <w:rFonts w:eastAsia="Calibri"/>
          <w:color w:val="auto"/>
          <w:lang w:eastAsia="en-US"/>
        </w:rPr>
        <w:t xml:space="preserve">Предложения по реконструкции </w:t>
      </w:r>
      <w:r>
        <w:rPr>
          <w:color w:val="auto"/>
          <w:spacing w:val="-1"/>
          <w:shd w:val="clear" w:color="auto" w:fill="ffffff"/>
          <w:lang w:eastAsia="en-US"/>
        </w:rPr>
        <w:t xml:space="preserve">источников теплоснабжения</w:t>
      </w:r>
      <w:r>
        <w:rPr>
          <w:color w:val="auto"/>
          <w:spacing w:val="-1"/>
          <w:shd w:val="clear" w:color="auto" w:fill="ffffff"/>
        </w:rPr>
      </w:r>
      <w:r>
        <w:rPr>
          <w:color w:val="auto"/>
          <w:spacing w:val="-1"/>
          <w:shd w:val="clear" w:color="auto" w:fill="ffffff"/>
        </w:rPr>
      </w:r>
    </w:p>
    <w:tbl>
      <w:tblPr>
        <w:tblStyle w:val="985"/>
        <w:tblW w:w="4889" w:type="pct"/>
        <w:tblInd w:w="108" w:type="dxa"/>
        <w:tblLook w:val="04A0" w:firstRow="1" w:lastRow="0" w:firstColumn="1" w:lastColumn="0" w:noHBand="0" w:noVBand="1"/>
      </w:tblPr>
      <w:tblGrid>
        <w:gridCol w:w="567"/>
        <w:gridCol w:w="3545"/>
        <w:gridCol w:w="5246"/>
      </w:tblGrid>
      <w:tr>
        <w:tblPrEx/>
        <w:trPr/>
        <w:tc>
          <w:tcPr>
            <w:tcW w:w="30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№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п/п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1894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Предложения по реконструкции 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источников теплоснабжения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80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Обоснование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03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1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  <w:tc>
          <w:tcPr>
            <w:gridSpan w:val="2"/>
            <w:tcW w:w="4697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Котельная № 1 (ТКСИ)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>
          <w:trHeight w:val="1189"/>
        </w:trPr>
        <w:tc>
          <w:tcPr>
            <w:tcW w:w="303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1.1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1894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Техническое перевооружение ОПО. Котельная №1 первой очереди (12). Техническое перевооружение агрегата КЕ25-14 ст.№2 со вспомогательным оборудованием на котельной №1 (ТКСИ) (инвентарный №1000062)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803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аварийное состояние котла, срок эксплуатации 2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9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 лет;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техническое перевооружение котельного агрегата позволит иметь резерв тепловой мощности, повысить надежность теплоснабжения, увеличить КПД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03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1.2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1894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Техническое перевооружение ОПО. Котельная №1 первой очереди (12). Модернизация группы сетевых подогревателей с установкой подогревателей типа ПСВ-90-7-15 количестве 2 штук.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803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физический износ установленного оборудования (эксплуатируется 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40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 лет);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обеспечение качества и надежности теплоснабжения;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увеличение установленной мощности группы сетевых подогревателей.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</w:tr>
      <w:tr>
        <w:tblPrEx/>
        <w:trPr/>
        <w:tc>
          <w:tcPr>
            <w:tcW w:w="303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1.3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1894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Модернизация насоса ЦН 400/105 ст.№ 26 с установкой ЧРП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803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снижение эксплуатационных затрат,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снижение расходов электроэнергии,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повышение надежности работы основного оборудования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обеспечение расчетного гидравлического режима при подключении перспективных потребителей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</w:tr>
      <w:tr>
        <w:tblPrEx/>
        <w:trPr>
          <w:trHeight w:val="1535"/>
        </w:trPr>
        <w:tc>
          <w:tcPr>
            <w:tcW w:w="303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1.4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1894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Техническое перевооружение котельных агрегатов КЕ-25-14 станционный №1 и станционный №3 для восстановления располагаемой мощности котельной №1 и обеспечения перспективных нагрузок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803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снятие ограничения по разрешенному давлению пара;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восстановление тепловой мощности до паспортных характеристик;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повышение надежности теплоснабжения;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повышение резерва тепловой мощности.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03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1.5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1894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Техническое перевооружение ОПО. Котельная №1 первой очереди (12). Модернизация прямого и обратного коллекторов группы сетевых насосов котельной №1 с целью увеличения пропускной способности для обеспечения перспективных нагрузок.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803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обеспечение пропускной способности трубопроводов обвязки группы сетевых насосов при увеличении подключенной тепловой нагрузки.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03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gridSpan w:val="2"/>
            <w:tcW w:w="4697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Котельная № 2 (ШПЗ)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03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2.1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1894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Техническое перевооружение ОПО котельная №2. Техническое перевооружение котельного агрегата КЕ 10-14С станционный №1 (ШПЗ) с приобретением и монтажом вспомогательного оборудования и шита управления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803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аварийное состояние котла со сроком эксплуатации 25 лет;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увеличение КПД, технико-экономических показателей котельной;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установка котла позволит иметь резервный котёл, повысить надежность теплоснабжения, снизить риск предоставления коммунальных услуг ненадлежащего качества потребителям, увеличить резерв мощности для подключения новых потребителей.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03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3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gridSpan w:val="2"/>
            <w:tcW w:w="4697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Прочие мероприятия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03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3.1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1894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«Блочно-модульная котельная на твердом топливе, теплопроизводительностью от 12 Гкал/ч до 20 Гкал/ч в селе Старый Акульшет Тайшетского рай</w:t>
            </w:r>
            <w:r>
              <w:rPr>
                <w:rFonts w:ascii="Times New Roman" w:hAnsi="Times New Roman" w:cs="Times New Roman"/>
                <w:color w:val="auto"/>
              </w:rPr>
              <w:t xml:space="preserve">она» - новое строительство с целью обеспечения резервного теплоснабжения микрорайона Центральный города Тайшет, а также обеспечение технической возможности технологического присоединения вновь строящихся объектов к тепловым сетям ОП «ТТС» АО «Байкалэнерго»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803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обеспечение резерва тепловой мощности для подключения перспективных потребителей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03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3.2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1894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Строительство котельной мощностью 56 Гкал/ч взамен отработавшей нормативный срок котельной № 2 (ШПЗ)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803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обеспечение резерва тепловой мощности для подключения перспективных потребителей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обеспечение надежности теплоснабжения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03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3.3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1894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Строительство блока водогрейных котлов мощностью 50 Гкал/ч с целью обеспечения с целью обеспечения перспективных нагрузок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803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обеспечение резерва тепловой мощности для подключения перспективных потребителей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</w:tbl>
    <w:p>
      <w:pPr>
        <w:ind w:firstLine="709"/>
        <w:jc w:val="both"/>
        <w:rPr>
          <w:color w:val="auto"/>
        </w:rPr>
        <w:outlineLvl w:val="0"/>
      </w:pPr>
      <w:r>
        <w:rPr>
          <w:color w:val="auto"/>
          <w:highlight w:val="none"/>
          <w:shd w:val="clear" w:color="auto" w:fill="ffffff"/>
        </w:rPr>
      </w:r>
      <w:r>
        <w:rPr>
          <w:color w:val="auto"/>
        </w:rPr>
      </w:r>
      <w:r>
        <w:rPr>
          <w:color w:val="auto"/>
        </w:rPr>
      </w:r>
    </w:p>
    <w:p>
      <w:pPr>
        <w:ind w:firstLine="709"/>
        <w:jc w:val="both"/>
        <w:rPr>
          <w:color w:val="auto"/>
          <w:highlight w:val="none"/>
          <w:shd w:val="clear" w:color="auto" w:fill="ffffff"/>
        </w:rPr>
        <w:outlineLvl w:val="0"/>
      </w:pPr>
      <w:r>
        <w:rPr>
          <w:color w:val="auto"/>
          <w:shd w:val="clear" w:color="auto" w:fill="ffffff"/>
        </w:rPr>
        <w:t xml:space="preserve">Внедрение указанных мероприятий позволит увеличить резерв тепловой мощности котельных, повысить эффективность и уровень надежности их функционирования.</w:t>
      </w:r>
      <w:r>
        <w:rPr>
          <w:color w:val="auto"/>
          <w:highlight w:val="none"/>
          <w:shd w:val="clear" w:color="auto" w:fill="ffffff"/>
        </w:rPr>
      </w:r>
      <w:r>
        <w:rPr>
          <w:color w:val="auto"/>
          <w:highlight w:val="none"/>
          <w:shd w:val="clear" w:color="auto" w:fill="ffffff"/>
        </w:rPr>
      </w:r>
    </w:p>
    <w:p>
      <w:pPr>
        <w:ind w:firstLine="709"/>
        <w:jc w:val="both"/>
        <w:keepLines/>
        <w:keepNext/>
        <w:widowControl w:val="off"/>
        <w:rPr>
          <w:bCs/>
          <w:color w:val="auto"/>
          <w:shd w:val="clear" w:color="auto" w:fill="ffffff"/>
        </w:rPr>
        <w:outlineLvl w:val="0"/>
      </w:pPr>
      <w:r>
        <w:rPr>
          <w:color w:val="auto"/>
        </w:rPr>
      </w:r>
      <w:bookmarkStart w:id="16" w:name="_Toc149054973"/>
      <w:r>
        <w:rPr>
          <w:bCs/>
          <w:color w:val="auto"/>
          <w:shd w:val="clear" w:color="auto" w:fill="ffffff"/>
        </w:rPr>
        <w:t xml:space="preserve">5.3. Предложения по модернизации источников тепловой энергии с целью повышения эффективности работы систем теплоснабжения</w:t>
      </w:r>
      <w:bookmarkEnd w:id="16"/>
      <w:r>
        <w:rPr>
          <w:bCs/>
          <w:color w:val="auto"/>
          <w:shd w:val="clear" w:color="auto" w:fill="ffffff"/>
        </w:rPr>
      </w:r>
      <w:r>
        <w:rPr>
          <w:bCs/>
          <w:color w:val="auto"/>
          <w:shd w:val="clear" w:color="auto" w:fill="ffffff"/>
        </w:rPr>
      </w:r>
    </w:p>
    <w:p>
      <w:pPr>
        <w:ind w:firstLine="709"/>
        <w:jc w:val="both"/>
        <w:widowControl w:val="off"/>
        <w:rPr>
          <w:color w:val="auto"/>
          <w:spacing w:val="-1"/>
          <w:shd w:val="clear" w:color="auto" w:fill="ffffff"/>
        </w:rPr>
        <w:outlineLvl w:val="0"/>
      </w:pPr>
      <w:r>
        <w:rPr>
          <w:color w:val="auto"/>
          <w:spacing w:val="-1"/>
          <w:shd w:val="clear" w:color="auto" w:fill="ffffff"/>
          <w:lang w:eastAsia="en-US"/>
        </w:rPr>
        <w:t xml:space="preserve">Для повышения эффективности работы систем теплоснабжения предусматриваются мероприятия по модернизация и техническому перевооружению источников </w:t>
      </w:r>
      <w:r>
        <w:rPr>
          <w:color w:val="auto"/>
          <w:spacing w:val="-1"/>
          <w:shd w:val="clear" w:color="auto" w:fill="ffffff"/>
          <w:lang w:eastAsia="en-US"/>
        </w:rPr>
        <w:t xml:space="preserve">теплоснабжения, перечень которых приведен в Таблице 18.</w:t>
      </w:r>
      <w:r>
        <w:rPr>
          <w:color w:val="auto"/>
          <w:spacing w:val="-1"/>
          <w:shd w:val="clear" w:color="auto" w:fill="ffffff"/>
        </w:rPr>
      </w:r>
      <w:r>
        <w:rPr>
          <w:color w:val="auto"/>
          <w:spacing w:val="-1"/>
          <w:shd w:val="clear" w:color="auto" w:fill="ffffff"/>
        </w:rPr>
      </w:r>
    </w:p>
    <w:p>
      <w:pPr>
        <w:ind w:firstLine="709"/>
        <w:jc w:val="right"/>
        <w:widowControl w:val="off"/>
        <w:rPr>
          <w:color w:val="auto"/>
          <w:spacing w:val="-1"/>
          <w:shd w:val="clear" w:color="auto" w:fill="ffffff"/>
        </w:rPr>
      </w:pPr>
      <w:r>
        <w:rPr>
          <w:color w:val="auto"/>
          <w:spacing w:val="-1"/>
          <w:shd w:val="clear" w:color="auto" w:fill="ffffff"/>
          <w:lang w:eastAsia="en-US"/>
        </w:rPr>
        <w:t xml:space="preserve">Таблица 18</w:t>
      </w:r>
      <w:r>
        <w:rPr>
          <w:color w:val="auto"/>
          <w:spacing w:val="-1"/>
          <w:shd w:val="clear" w:color="auto" w:fill="ffffff"/>
        </w:rPr>
      </w:r>
      <w:r>
        <w:rPr>
          <w:color w:val="auto"/>
          <w:spacing w:val="-1"/>
          <w:shd w:val="clear" w:color="auto" w:fill="ffffff"/>
        </w:rPr>
      </w:r>
    </w:p>
    <w:p>
      <w:pPr>
        <w:jc w:val="center"/>
        <w:widowControl w:val="off"/>
        <w:rPr>
          <w:rFonts w:eastAsia="Calibri"/>
          <w:color w:val="auto"/>
        </w:rPr>
      </w:pPr>
      <w:r>
        <w:rPr>
          <w:rFonts w:eastAsia="Calibri"/>
          <w:color w:val="auto"/>
          <w:lang w:eastAsia="en-US"/>
        </w:rPr>
        <w:t xml:space="preserve">Предложения по </w:t>
      </w:r>
      <w:r>
        <w:rPr>
          <w:color w:val="auto"/>
          <w:spacing w:val="-1"/>
          <w:shd w:val="clear" w:color="auto" w:fill="ffffff"/>
          <w:lang w:eastAsia="en-US"/>
        </w:rPr>
        <w:t xml:space="preserve">модернизации</w:t>
      </w:r>
      <w:r>
        <w:rPr>
          <w:rFonts w:eastAsia="Calibri"/>
          <w:color w:val="auto"/>
          <w:lang w:eastAsia="en-US"/>
        </w:rPr>
        <w:t xml:space="preserve"> и техническому перевооружению </w:t>
      </w:r>
      <w:r>
        <w:rPr>
          <w:rFonts w:eastAsia="Calibri"/>
          <w:color w:val="auto"/>
        </w:rPr>
      </w:r>
      <w:r>
        <w:rPr>
          <w:rFonts w:eastAsia="Calibri"/>
          <w:color w:val="auto"/>
        </w:rPr>
      </w:r>
    </w:p>
    <w:p>
      <w:pPr>
        <w:jc w:val="center"/>
        <w:widowControl w:val="off"/>
        <w:rPr>
          <w:color w:val="auto"/>
          <w:spacing w:val="-1"/>
          <w:shd w:val="clear" w:color="auto" w:fill="ffffff"/>
        </w:rPr>
      </w:pPr>
      <w:r>
        <w:rPr>
          <w:color w:val="auto"/>
          <w:spacing w:val="-1"/>
          <w:shd w:val="clear" w:color="auto" w:fill="ffffff"/>
          <w:lang w:eastAsia="en-US"/>
        </w:rPr>
        <w:t xml:space="preserve">источников теплоснабжения</w:t>
      </w:r>
      <w:r>
        <w:rPr>
          <w:color w:val="auto"/>
          <w:spacing w:val="-1"/>
          <w:shd w:val="clear" w:color="auto" w:fill="ffffff"/>
        </w:rPr>
      </w:r>
      <w:r>
        <w:rPr>
          <w:color w:val="auto"/>
          <w:spacing w:val="-1"/>
          <w:shd w:val="clear" w:color="auto" w:fill="ffffff"/>
        </w:rPr>
      </w:r>
    </w:p>
    <w:tbl>
      <w:tblPr>
        <w:tblStyle w:val="985"/>
        <w:tblW w:w="4893" w:type="pct"/>
        <w:tblInd w:w="108" w:type="dxa"/>
        <w:tblLook w:val="04A0" w:firstRow="1" w:lastRow="0" w:firstColumn="1" w:lastColumn="0" w:noHBand="0" w:noVBand="1"/>
      </w:tblPr>
      <w:tblGrid>
        <w:gridCol w:w="637"/>
        <w:gridCol w:w="4480"/>
        <w:gridCol w:w="4248"/>
      </w:tblGrid>
      <w:tr>
        <w:tblPrEx/>
        <w:trPr>
          <w:tblHeader/>
        </w:trPr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№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п/п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Предложения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Обоснование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1.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  <w:tc>
          <w:tcPr>
            <w:gridSpan w:val="2"/>
            <w:tcW w:w="4660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Котельная № 1 (ТКСИ)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1.1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Техническое перевооружение оборудования подстанции ТП-15-2/1600 (06379) котельной первой очереди;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 и морального устаревания оборудования (срок эксплуатации 38 лет);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повышение надежности работы котельной и снабжения потребителей тепловой энергии, соблюдение требований промышленной безопасности и технической эксплуатации;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hd w:val="clear" w:color="auto" w:fill="ffffff"/>
              </w:rPr>
              <w:t xml:space="preserve">снижение эксплуатационных затрат.</w:t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1.2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Техническое перевооружение контрольно-измерительных приборов и автоматики котлов котельной первой очереди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увеличение КПД, снижение удельного расхода топлива, улучшение технико-экономических показателей котельной; повышение надежности работы котельной, соблюдение требований промышленной безопасности и технической эксплуатации.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1.3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Дооборудование котельной </w:t>
            </w:r>
            <w:r>
              <w:rPr>
                <w:rFonts w:ascii="Times New Roman" w:hAnsi="Times New Roman" w:cs="Times New Roman"/>
                <w:color w:val="auto"/>
              </w:rPr>
              <w:t xml:space="preserve">первой очереди 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автоматическими системами, обеспечивающими пожарную безопасность в соответствии с действующими нормами и правилами (с ПИР)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обеспечение пожарной безопасности котельной в соответствии с действующими нормами и правилами.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</w:t>
            </w:r>
            <w:r>
              <w:rPr>
                <w:rFonts w:ascii="Times New Roman" w:hAnsi="Times New Roman" w:cs="Times New Roman"/>
                <w:color w:val="auto"/>
              </w:rPr>
              <w:t xml:space="preserve">4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Реконструкция системы очистки сточных вод котельной  первой очереди с возможностью распространения основных технических решений на прочие теплоисточники ОП «ТТС»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обеспечение соблюдения экологического законодательства.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</w:t>
            </w:r>
            <w:r>
              <w:rPr>
                <w:rFonts w:ascii="Times New Roman" w:hAnsi="Times New Roman" w:cs="Times New Roman"/>
                <w:color w:val="auto"/>
              </w:rPr>
              <w:t xml:space="preserve">5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Строительство автотракторного бокса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исполнение обязательств по концессионному соглашению;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обеспечение размещения автотракторной техники в здании, отвечающем требованиям безопасности.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</w:t>
            </w:r>
            <w:r>
              <w:rPr>
                <w:rFonts w:ascii="Times New Roman" w:hAnsi="Times New Roman" w:cs="Times New Roman"/>
                <w:color w:val="auto"/>
              </w:rPr>
              <w:t xml:space="preserve">6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Реконструкция железнодорожного пути необщего пользования, расположенного по адресу: город Тайшет, улица  Индустриальная, 3/9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обеспечение безопасности движения железнодорожного транспорта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обеспечение бесперебойности поставки топлива за счет исключения возможности нештатных ситуаций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</w:t>
            </w:r>
            <w:r>
              <w:rPr>
                <w:rFonts w:ascii="Times New Roman" w:hAnsi="Times New Roman" w:cs="Times New Roman"/>
                <w:color w:val="auto"/>
              </w:rPr>
              <w:t xml:space="preserve">7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Техническое перевооружение здания дробильного отделения с тремя узлами пересыпки по адресу: город Тайшет, улица Индустриальная, 3/2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повышение надежности теплоснабжения.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</w:t>
            </w:r>
            <w:r>
              <w:rPr>
                <w:rFonts w:ascii="Times New Roman" w:hAnsi="Times New Roman" w:cs="Times New Roman"/>
                <w:color w:val="auto"/>
              </w:rPr>
              <w:t xml:space="preserve">8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Реконструкция здания гаража (пристрой </w:t>
            </w:r>
            <w:r>
              <w:rPr>
                <w:rFonts w:ascii="Times New Roman" w:hAnsi="Times New Roman" w:cs="Times New Roman"/>
                <w:color w:val="auto"/>
              </w:rPr>
              <w:t xml:space="preserve">к АБК)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исключение возможности 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производственного травматизма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обеспечение безопасности и условий содержания спецтехники предприятия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</w:t>
            </w:r>
            <w:r>
              <w:rPr>
                <w:rFonts w:ascii="Times New Roman" w:hAnsi="Times New Roman" w:cs="Times New Roman"/>
                <w:color w:val="auto"/>
              </w:rPr>
              <w:t xml:space="preserve">9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Реконструкция системы видеонаблюдения территории котельной 1-й очереди город Тайшет, ул. Индустриальная, 3/1 (инв.№ 100004)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обеспечение антитеррористической безопасности объектов теплоснабжения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1.1</w:t>
            </w:r>
            <w:r>
              <w:rPr>
                <w:rFonts w:ascii="Times New Roman" w:hAnsi="Times New Roman" w:cs="Times New Roman"/>
                <w:color w:val="auto"/>
              </w:rPr>
              <w:t xml:space="preserve">0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Техническое перевооружение резервуара металлического (Бак аккумуляторный У-700), Котельной №1 (ТКСИ) (инв.№ 10027- Бак аккумуляторный У-700 м3)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widowControl w:val="off"/>
              <w:tabs>
                <w:tab w:val="num" w:pos="0" w:leader="none"/>
                <w:tab w:val="left" w:pos="255" w:leader="none"/>
              </w:tabs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 и морального устаревания оборудования (срок эксплуатации более 40 лет);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1.1</w:t>
            </w:r>
            <w:r>
              <w:rPr>
                <w:rFonts w:ascii="Times New Roman" w:hAnsi="Times New Roman" w:cs="Times New Roman"/>
                <w:color w:val="auto"/>
              </w:rPr>
              <w:t xml:space="preserve">1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наружного освещения периметра котельной 1-й очереди г. Тайшет, улица Индустриальная, 3/1 (инв.№ 100004)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обеспечение антитеррористической безопасности объекта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1.1</w:t>
            </w:r>
            <w:r>
              <w:rPr>
                <w:rFonts w:ascii="Times New Roman" w:hAnsi="Times New Roman" w:cs="Times New Roman"/>
                <w:color w:val="auto"/>
              </w:rPr>
              <w:t xml:space="preserve">2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оборудования химлаборатории котельной 1-ой очереди (инв.№ 100004). Шкаф вытяжной ЛК-1200 ШВП.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- обеспечение безопасности труда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1.1</w:t>
            </w:r>
            <w:r>
              <w:rPr>
                <w:rFonts w:ascii="Times New Roman" w:hAnsi="Times New Roman" w:cs="Times New Roman"/>
                <w:color w:val="auto"/>
              </w:rPr>
              <w:t xml:space="preserve">3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конденсатных баков котельной 1-ой очереди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 и морального устаревания оборудования (срок эксплуатации более 40 лет);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1.14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деаэратора сетевого контура ДА-200 котельной 1-ой очереди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 и морального устаревания оборудования (срок эксплуатации более 40 лет);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1.15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оборудования здания дробильного отделения с 3-мя узлами пересыпки город Тайшет, улица Индустриальная, 3/2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 и морального устаревания оборудования (срок эксплуатации более 40 лет);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1.16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деаэратора котлового контура ДА-100 котельной 1-ой очереди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 и морального устаревания оборудования (срок эксплуатации более 40 лет);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1.17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Техническое перевооружение склада топлива 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обеспечение безопасности труда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обеспечение требований правил технической эксплуатации 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1.18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фильтров ХВО котлового контура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 и морального устаревания оборудования (срок эксплуатации более 40 лет);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1.19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оборудования склада реагентов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 и морального устаревания оборудования (срок эксплуатации более 40 лет);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gridSpan w:val="2"/>
            <w:tcW w:w="4660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Котельная № 2 (ШПЗ)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2.1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аспирационной установки топливоподачи станционный № 3 тракта углеподачи (с ПИР)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widowControl w:val="off"/>
              <w:tabs>
                <w:tab w:val="num" w:pos="0" w:leader="none"/>
                <w:tab w:val="left" w:pos="255" w:leader="none"/>
              </w:tabs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 и морального устаревания оборудования (срок эксплуатации 26 лет);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widowControl w:val="off"/>
              <w:tabs>
                <w:tab w:val="num" w:pos="0" w:leader="none"/>
                <w:tab w:val="left" w:pos="255" w:leader="none"/>
              </w:tabs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обеспечение нормативных показателей очистки удаляемого воздуха, соблюдение требований к рабочей зоне, соблюдение трудового и экологического законодательства.</w:t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2.2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питательных насосов котельной №2. Замена питательных насосов (ЦНСг 60/231 станционный №1 - 1 шт., ЦНСГ-105-196 - 2 шт.) на современные энергоэффективные аналоги с применением ЧРП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widowControl w:val="off"/>
              <w:tabs>
                <w:tab w:val="num" w:pos="0" w:leader="none"/>
                <w:tab w:val="left" w:pos="255" w:leader="none"/>
              </w:tabs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 и морального устаревания оборудования (срок эксплуатации 15 лет к моменту реализации мероприятия);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widowControl w:val="off"/>
              <w:tabs>
                <w:tab w:val="num" w:pos="0" w:leader="none"/>
                <w:tab w:val="left" w:pos="255" w:leader="none"/>
              </w:tabs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снижение эксплуатационных затрат, снижение расходов электроэнергии, повышение надежности работы основного оборудования.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</w:t>
            </w:r>
            <w:r>
              <w:rPr>
                <w:rFonts w:ascii="Times New Roman" w:hAnsi="Times New Roman" w:cs="Times New Roman"/>
                <w:color w:val="auto"/>
              </w:rPr>
              <w:t xml:space="preserve">3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Реконструкция КИПиА. Создание щитов управления котлов паровых КЕ-10 14С станционный №2, ДКВр-20/13 станционный №3, ДКВр-20/13 станционный №4, ДКВр-20-13-250 (Е-20-14-250) станционный №5 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увеличение КПД, снижение удельного расхода топлива, улучшение технико-экономических показателей котельной;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повышение надежности работы котельной, соблюдение требований промышленной безопасности и технической эксплуатации.</w:t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2.4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Реконструкция группы сетевых подогревателей. Замена подогревателей сетевой воды ПСВ 200-7-15 станционный № 7, ПСВ-90-7-15 станционный №9.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-физический износ подогревателей сетевой воды (фактический срок службы 3</w:t>
            </w:r>
            <w:r>
              <w:rPr>
                <w:rFonts w:ascii="Times New Roman" w:hAnsi="Times New Roman" w:cs="Times New Roman"/>
                <w:color w:val="auto"/>
              </w:rPr>
              <w:t xml:space="preserve">6</w:t>
            </w:r>
            <w:r>
              <w:rPr>
                <w:rFonts w:ascii="Times New Roman" w:hAnsi="Times New Roman" w:cs="Times New Roman"/>
                <w:color w:val="auto"/>
              </w:rPr>
              <w:t xml:space="preserve"> лет);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повышение надежности теплоснабжения потребителей.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2.5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золоуловителей МП-3100 к/а КЕ 10/14  станционный №2.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высокая степень износа и морального устаревания оборудования (срок эксплуатации 4</w:t>
            </w:r>
            <w:r>
              <w:rPr>
                <w:rFonts w:ascii="Times New Roman" w:hAnsi="Times New Roman" w:cs="Times New Roman"/>
                <w:color w:val="auto"/>
              </w:rPr>
              <w:t xml:space="preserve">4</w:t>
            </w:r>
            <w:r>
              <w:rPr>
                <w:rFonts w:ascii="Times New Roman" w:hAnsi="Times New Roman" w:cs="Times New Roman"/>
                <w:color w:val="auto"/>
              </w:rPr>
              <w:t xml:space="preserve"> года);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снижение эксплуатационных затрат, снижение расходов электроэнергии, повышение надежности работы основного оборудования.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</w:t>
            </w:r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6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вспомогательного оборудования котельных агрегатов ДКВр 20/13 станционный № 3, 4, 5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высокая степень износа и морального устаревания оборудования (срок эксплуатации 4</w:t>
            </w:r>
            <w:r>
              <w:rPr>
                <w:rFonts w:ascii="Times New Roman" w:hAnsi="Times New Roman" w:cs="Times New Roman"/>
                <w:color w:val="auto"/>
              </w:rPr>
              <w:t xml:space="preserve">4</w:t>
            </w:r>
            <w:r>
              <w:rPr>
                <w:rFonts w:ascii="Times New Roman" w:hAnsi="Times New Roman" w:cs="Times New Roman"/>
                <w:color w:val="auto"/>
              </w:rPr>
              <w:t xml:space="preserve"> года);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снижение эксплуатационных затрат, снижение расходов электроэнергии, повышение надежности работы основного оборудования.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</w:t>
            </w:r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7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охладителей выпара ОВА 16 (станционный №1, станционный № 2)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 и морального устаревания оборудования (срок эксплуатации 50 лет и 3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3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 года соответственно к моменту реализации мероприятия);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повышение КПД котельной, обеспечение работы котельной по штатной схеме.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</w:t>
            </w:r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8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Техническое перевооружение тракта углеподачи (ограждающих конструктивных элементов и дренажной системы)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  <w:t xml:space="preserve">высокая степень износа ограждающих конструкций и кровли, систем аспирации и отвода дренажных вод галерей т/подачи (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срок эксплуатации 40 лет);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  <w:t xml:space="preserve">обеспечение безаварийной подачи угля на котельную.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</w:t>
            </w:r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9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оборудования химводоподготовки. Замена фильтров ФИПа станционный №1, станционный №2, станционный №3, станционный №4.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 и морального устаревания оборудования (срок эксплуатации 50 лет к моменту реализации мероприятия);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снижение эксплуатационных затрат (трудозатрат, воды, соли), повышение эффективности очистки.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2.1</w:t>
            </w:r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0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Реконструкция резервуара металлического (стального бака-аккумулятора 2000м3 ст.№1)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 (срок эксплуатации 40 лет);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снижение эксплуатационных затрат, снижение потерь тепловой энергии через конструкции резервуара, повышение надежности работы.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2.1</w:t>
            </w:r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1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Реконструк</w:t>
            </w:r>
            <w:r>
              <w:rPr>
                <w:rFonts w:ascii="Times New Roman" w:hAnsi="Times New Roman" w:cs="Times New Roman"/>
                <w:color w:val="auto"/>
              </w:rPr>
              <w:t xml:space="preserve">ция кровли котельной №2 ОП «ТТС» АО «Байкалэнерго» (котельная с четырьмя двухэтажными и тремя одноэтажными пристроями, с пристроем золоудаления и здания углеподачи, инв. № 91, расположенная по адресу: Иркутская обл., г. Тайшет, ул. Гагарина, 114»)» (с ПИР)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  <w:t xml:space="preserve">предписание РТН от 09 марта 2021 года  № 25/044-КН.</w:t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2.1</w:t>
            </w:r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2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Реконструкция системы пожаротушения галереи тракта углеподачи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  <w:t xml:space="preserve">обеспечение пожарной безопасности котельных в соответствии с действующими нормами и правилами.</w:t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2.1</w:t>
            </w:r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3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здания котельной с устройством блочного санитарно-бытового помещения.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  <w:t xml:space="preserve">обеспечение требований законодательства в области охраны труда.</w:t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2.1</w:t>
            </w:r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4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Техническое перевооружение ОПО "Котельная № 2" III класса опасности рег. № А67-01914-0014. Модернизация трубопровода пара от к/а №1, 2 (инв. №240/1) и трубопровода пара от к/а №3, 4, 5 (инв. №232/1) котельной №2 (ШПЗ). Устройство редукционной установки.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  <w:t xml:space="preserve">требование ФНП в области промышленной безопасности.</w:t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</w:t>
            </w:r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15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Реконструкция системы очистки сточных вод котельной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обеспечение соблюдения экологического законодательства.</w:t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</w:t>
            </w:r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16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Техническое перевооружение емкостей подпиточных горизонтальных ст.№ 1, ст.№ 2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 (срок эксплуатации 38 лет);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повышение надежности работы котельной и снабжения потребителей тепловой энергии, соблюдение требований промышленной безопасности и технической эксплуатации;</w:t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</w:t>
            </w:r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17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Техническое перевооружение здания котельной и тракта топливоподачи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 (срок эксплуатации 38 лет);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повышение надежности работы котельной и снабжения потребителей тепловой энергии, соблюдение требований промышленной 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безопасности и технической эксплуатации;</w:t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2</w:t>
            </w:r>
            <w:r>
              <w:rPr>
                <w:rFonts w:ascii="Times New Roman" w:hAnsi="Times New Roman" w:cs="Times New Roman"/>
                <w:color w:val="auto"/>
              </w:rPr>
              <w:t xml:space="preserve">.</w:t>
            </w:r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18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Техническое перевооружение ОПО котельная №2. Техническое перевооружение котельного агрегата ДКВр-20-13 станционный № 3 (ШПЗ) с приобретением и монтажом вспомогательного оборудования и шита управления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высокая степень износа и морального устаревания оборудования (срок эксплуатации 4</w:t>
            </w:r>
            <w:r>
              <w:rPr>
                <w:rFonts w:ascii="Times New Roman" w:hAnsi="Times New Roman" w:cs="Times New Roman"/>
                <w:color w:val="auto"/>
              </w:rPr>
              <w:t xml:space="preserve">4</w:t>
            </w:r>
            <w:r>
              <w:rPr>
                <w:rFonts w:ascii="Times New Roman" w:hAnsi="Times New Roman" w:cs="Times New Roman"/>
                <w:color w:val="auto"/>
              </w:rPr>
              <w:t xml:space="preserve"> года);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снижение эксплуатационных затрат, снижение расходов электроэнергии, повышение надежности работы основного оборудования.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2.19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Техническое перевооружение ОПО котельная №2. Техническое перевооружение котельного агрегата ДКВр-20-13 станционный № 4 (ШПЗ) с приобретением и монтажом вспомогательного оборудования и шита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высокая степень износа и морального устаревания оборудования (срок эксплуатации 4</w:t>
            </w:r>
            <w:r>
              <w:rPr>
                <w:rFonts w:ascii="Times New Roman" w:hAnsi="Times New Roman" w:cs="Times New Roman"/>
                <w:color w:val="auto"/>
              </w:rPr>
              <w:t xml:space="preserve">4</w:t>
            </w:r>
            <w:r>
              <w:rPr>
                <w:rFonts w:ascii="Times New Roman" w:hAnsi="Times New Roman" w:cs="Times New Roman"/>
                <w:color w:val="auto"/>
              </w:rPr>
              <w:t xml:space="preserve"> года);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снижение эксплуатационных затрат, снижение расходов электроэнергии, повышение надежности работы основного оборудования.</w:t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2.20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Реконструкция и модернизация электрооборудования котельной №2 (ШПЗ). Модернизация сооружения - воздушной линии электроснабжения котельной №2</w:t>
            </w:r>
            <w:r>
              <w:rPr>
                <w:rFonts w:ascii="Times New Roman" w:hAnsi="Times New Roman" w:cs="Times New Roman"/>
                <w:color w:val="auto"/>
              </w:rPr>
              <w:t xml:space="preserve"> (с ПИР)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повышение надежности работы котельной и снабжения потребителей тепловой энергии, соблюдение требований промышленной безопасности и технической эксплуатации.</w:t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2.21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Реконструкция и модернизация электрооборудования котельной №2 (ШПЗ). Модернизация ячеек КСО-298 (9 штук) и КСО-272 (2 ячейки).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повышение надежности работы котельной и снабжения потребителей тепловой энергии, соблюдение требований промышленной безопасности и технической эксплуатации.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</w:t>
            </w:r>
            <w:r>
              <w:rPr>
                <w:rFonts w:ascii="Times New Roman" w:hAnsi="Times New Roman" w:cs="Times New Roman"/>
                <w:color w:val="auto"/>
              </w:rPr>
              <w:t xml:space="preserve">22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Реконструкция и модернизация электрооб</w:t>
            </w:r>
            <w:r>
              <w:rPr>
                <w:rFonts w:ascii="Times New Roman" w:hAnsi="Times New Roman" w:cs="Times New Roman"/>
                <w:color w:val="auto"/>
              </w:rPr>
              <w:t xml:space="preserve">орудования котельной № 2 (ШПЗ). </w:t>
            </w:r>
            <w:r>
              <w:rPr>
                <w:rFonts w:ascii="Times New Roman" w:hAnsi="Times New Roman" w:cs="Times New Roman"/>
                <w:color w:val="auto"/>
              </w:rPr>
              <w:t xml:space="preserve">Модернизация </w:t>
            </w:r>
            <w:r>
              <w:rPr>
                <w:rFonts w:ascii="Times New Roman" w:hAnsi="Times New Roman" w:cs="Times New Roman"/>
                <w:color w:val="auto"/>
              </w:rPr>
              <w:t xml:space="preserve">т</w:t>
            </w:r>
            <w:r>
              <w:rPr>
                <w:rFonts w:ascii="Times New Roman" w:hAnsi="Times New Roman" w:cs="Times New Roman"/>
                <w:color w:val="auto"/>
              </w:rPr>
              <w:t xml:space="preserve">рансформаторных подстанций ТП-1 и ТП-2. 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повышение надежности работы котельной и снабжения потребителей тепловой энергии, соблюдение требований промышленной безопасности и технической эксплуатации.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2.23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Реконструкция и модернизация электрооборудования котельной № 2 (ШПЗ). Модернизация распределительного устройства РУ 0,4 кВ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повышение надежности работы котельной и снабжения потребителей тепловой энергии, соблюдение требований промышленной безопасности и технической эксплуатации.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3.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Котельная № 3 (Мелькомбинат)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3.1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6"/>
              </w:rPr>
              <w:t xml:space="preserve">Дооборудование котельной автоматическими системами</w:t>
            </w:r>
            <w:r>
              <w:rPr>
                <w:rFonts w:ascii="Times New Roman" w:hAnsi="Times New Roman" w:cs="Times New Roman"/>
                <w:color w:val="auto"/>
              </w:rPr>
              <w:t xml:space="preserve">, обеспечивающими пожарную безопасность в соответствии с действующими нормами и правилами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  <w:t xml:space="preserve">обеспечение пожарной безопасности котельной №3 (галерея топливоподачи).</w:t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3.2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Реконструкция системы очистки сточных вод котельной №3 ОП «ТТС»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  <w:t xml:space="preserve">обеспечение соблюдения экологического законодательства РФ.</w:t>
            </w:r>
            <w:r>
              <w:rPr>
                <w:color w:val="auto"/>
                <w:spacing w:val="-1"/>
                <w:shd w:val="clear" w:color="auto" w:fill="ffffff"/>
              </w:rPr>
            </w:r>
            <w:r>
              <w:rPr>
                <w:color w:val="auto"/>
                <w:spacing w:val="-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color w:val="auto"/>
              </w:rPr>
            </w:pPr>
            <w:r>
              <w:rPr>
                <w:rFonts w:ascii="Times New Roman" w:hAnsi="Times New Roman" w:eastAsia="Times New Roman" w:cs="Times New Roman"/>
                <w:color w:val="auto"/>
              </w:rPr>
              <w:t xml:space="preserve">3.3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rPr>
                <w:color w:val="auto"/>
              </w:rPr>
            </w:pPr>
            <w:r>
              <w:rPr>
                <w:rFonts w:ascii="Times New Roman" w:hAnsi="Times New Roman" w:eastAsia="Times New Roman" w:cs="Times New Roman"/>
                <w:color w:val="auto"/>
              </w:rPr>
              <w:t xml:space="preserve">Техническое перевооружение ОПО котельная №3 «Мелькомбинат». </w:t>
            </w:r>
            <w:r>
              <w:rPr>
                <w:rFonts w:ascii="Times New Roman" w:hAnsi="Times New Roman" w:eastAsia="Times New Roman" w:cs="Times New Roman"/>
                <w:color w:val="auto"/>
              </w:rPr>
              <w:t xml:space="preserve">Модернизация главн</w:t>
            </w:r>
            <w:r>
              <w:rPr>
                <w:rFonts w:ascii="Times New Roman" w:hAnsi="Times New Roman" w:eastAsia="Times New Roman" w:cs="Times New Roman"/>
                <w:color w:val="auto"/>
              </w:rPr>
              <w:t xml:space="preserve">ого паропровода от котлоагрегатов (от теплообменников</w:t>
            </w:r>
            <w:r>
              <w:rPr>
                <w:rFonts w:ascii="Times New Roman" w:hAnsi="Times New Roman" w:eastAsia="Times New Roman" w:cs="Times New Roman"/>
                <w:color w:val="auto"/>
              </w:rPr>
              <w:t xml:space="preserve">). Устройство редукционной установки. (инвентарный № Ю40118/1)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pacing w:val="1"/>
                <w:shd w:val="clear" w:color="auto" w:fill="ffffff"/>
              </w:rPr>
              <w:t xml:space="preserve">Требование ФНП в области промышленной безопасности.</w:t>
            </w:r>
            <w:r>
              <w:rPr>
                <w:color w:val="auto"/>
                <w:spacing w:val="-1"/>
                <w:shd w:val="clear" w:color="auto" w:fill="ffffff"/>
              </w:rPr>
            </w:r>
            <w:r>
              <w:rPr>
                <w:color w:val="auto"/>
                <w:spacing w:val="-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color w:val="auto"/>
              </w:rPr>
              <w:t xml:space="preserve">3.4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vAlign w:val="center"/>
            <w:textDirection w:val="lrTb"/>
            <w:noWrap w:val="false"/>
          </w:tcPr>
          <w:p>
            <w:pPr>
              <w:jc w:val="both"/>
              <w:rPr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подпиточной емкости</w:t>
            </w:r>
            <w:r>
              <w:rPr>
                <w:color w:val="auto"/>
                <w:spacing w:val="-1"/>
                <w:shd w:val="clear" w:color="auto" w:fill="ffffff"/>
              </w:rPr>
            </w:r>
            <w:r>
              <w:rPr>
                <w:color w:val="auto"/>
                <w:spacing w:val="-1"/>
                <w:shd w:val="clear" w:color="auto" w:fill="ffffff"/>
              </w:rPr>
            </w:r>
          </w:p>
        </w:tc>
        <w:tc>
          <w:tcPr>
            <w:tcW w:w="2268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 (срок эксплуатации 40 лет);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повышение надежности работы котельной и снабжения потребителей тепловой энергии, соблюдение требований промышленной безопасности и технической эксплуатации;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color w:val="auto"/>
              </w:rPr>
              <w:t xml:space="preserve">3.5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емкости сырой воды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 (срок эксплуатации 40 лет);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повышение надежности работы котельной и снабжения потребителей тепловой энергии, соблюдение требований промышленной безопасности и технической эксплуатации;</w:t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>
          <w:trHeight w:val="419"/>
        </w:trPr>
        <w:tc>
          <w:tcPr>
            <w:shd w:val="clear" w:color="auto" w:fill="auto"/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color w:val="auto"/>
              </w:rPr>
              <w:t xml:space="preserve">3.6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shd w:val="clear" w:color="auto" w:fill="auto"/>
            <w:tcW w:w="2392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насосного оборудования (питательные, сетевые насосы)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shd w:val="clear" w:color="auto" w:fill="auto"/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повышение надежности работы котельной и снабжения потребителей тепловой энергии, соблюдение требований промышленной безопасности и технической эксплуатации;</w:t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>
          <w:trHeight w:val="419"/>
        </w:trPr>
        <w:tc>
          <w:tcPr>
            <w:shd w:val="clear" w:color="auto" w:fill="auto"/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3.7.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  <w:tc>
          <w:tcPr>
            <w:shd w:val="clear" w:color="auto" w:fill="auto"/>
            <w:tcW w:w="2392" w:type="pct"/>
            <w:vAlign w:val="center"/>
            <w:textDirection w:val="lrTb"/>
            <w:noWrap w:val="false"/>
          </w:tcPr>
          <w:p>
            <w:pPr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Модернизация фильтров ХВО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  <w:tc>
          <w:tcPr>
            <w:shd w:val="clear" w:color="auto" w:fill="auto"/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 и морального устаревания оборудования (срок эксплуатации 40 лет к моменту реализации мероприятия);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снижение эксплуатационных затрат (трудозатрат, воды, соли), повышение эффективности очистки</w:t>
            </w:r>
            <w:r>
              <w:rPr>
                <w:color w:val="auto"/>
                <w:spacing w:val="-1"/>
                <w:shd w:val="clear" w:color="auto" w:fill="ffffff"/>
              </w:rPr>
            </w:r>
            <w:r>
              <w:rPr>
                <w:color w:val="auto"/>
                <w:spacing w:val="-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3.8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  <w:tc>
          <w:tcPr>
            <w:tcW w:w="2392" w:type="pct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вспомогательного оборудования котельных агрегатов ДКВр 6,5/13 станционный № 1, № 2.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повышение надежности работы котельной и снабжения потребителей тепловой энергии, соблюдение требований промышленной безопасности и технической эксплуатации;</w:t>
            </w:r>
            <w:r>
              <w:rPr>
                <w:color w:val="auto"/>
                <w:spacing w:val="1"/>
                <w:shd w:val="clear" w:color="auto" w:fill="ffffff"/>
              </w:rPr>
            </w:r>
            <w:r>
              <w:rPr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4.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Котельная № 4 (Экспедиция №5)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color w:val="auto"/>
                <w:spacing w:val="1"/>
                <w:shd w:val="clear" w:color="auto" w:fill="ffffff"/>
              </w:rPr>
            </w:pPr>
            <w:r>
              <w:rPr>
                <w:color w:val="auto"/>
                <w:spacing w:val="1"/>
                <w:shd w:val="clear" w:color="auto" w:fill="ffffff"/>
              </w:rPr>
            </w:r>
            <w:r>
              <w:rPr>
                <w:color w:val="auto"/>
                <w:spacing w:val="1"/>
                <w:shd w:val="clear" w:color="auto" w:fill="ffffff"/>
              </w:rPr>
            </w:r>
            <w:r>
              <w:rPr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4.1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Реконструкция насосного оборудования сетевой группы котельной (замена физически изношенных и морально устаревших насосных агрегатов Д250/50)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физиче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ский износ (срок эксплуатации 32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 год);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снижение эксплуатационных затрат, снижение расходов электроэнергии, повышение надежности работы основного оборудования.</w:t>
            </w:r>
            <w:r>
              <w:rPr>
                <w:color w:val="auto"/>
                <w:spacing w:val="1"/>
                <w:shd w:val="clear" w:color="auto" w:fill="ffffff"/>
              </w:rPr>
            </w:r>
            <w:r>
              <w:rPr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4.2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котельной №4 (Экспедиция №5). Приобретение и </w:t>
            </w:r>
            <w:r>
              <w:rPr>
                <w:rFonts w:ascii="Times New Roman" w:hAnsi="Times New Roman" w:cs="Times New Roman"/>
                <w:color w:val="auto"/>
              </w:rPr>
              <w:t xml:space="preserve">монтаж котельного агрегата КВМ-1,25 взамен отработавшего нормативный срок КВМ-1,25. (инвентарный №10028Т)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  <w:t xml:space="preserve">физический износ морально устаревшего оборудования </w:t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  <w:t xml:space="preserve">(эксплуатируется 17 лет при среднем нормативном сроке эксплуатации 10 лет);</w:t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  <w:p>
            <w:pPr>
              <w:jc w:val="both"/>
              <w:rPr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  <w:t xml:space="preserve">повышение надежности теплоснабжения потребителей.</w:t>
            </w:r>
            <w:r>
              <w:rPr>
                <w:color w:val="auto"/>
                <w:spacing w:val="1"/>
                <w:shd w:val="clear" w:color="auto" w:fill="ffffff"/>
              </w:rPr>
            </w:r>
            <w:r>
              <w:rPr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4.3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«Модернизация газоходов котельной №4. Устройство газоочистного оборудования» (с ПИР) (инв. №б/н)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отсутствие очистки уходящих газов;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  <w:p>
            <w:pPr>
              <w:jc w:val="both"/>
              <w:rPr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соблюдение требований природоохранного законодательства и санитарно-эпидемиологических норм.</w:t>
            </w:r>
            <w:r>
              <w:rPr>
                <w:color w:val="auto"/>
                <w:spacing w:val="1"/>
                <w:shd w:val="clear" w:color="auto" w:fill="ffffff"/>
              </w:rPr>
            </w:r>
            <w:r>
              <w:rPr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4.4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vAlign w:val="center"/>
            <w:textDirection w:val="lrTb"/>
            <w:noWrap w:val="false"/>
          </w:tcPr>
          <w:p>
            <w:pPr>
              <w:jc w:val="both"/>
              <w:rPr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емкости сырой воды</w:t>
            </w:r>
            <w:r>
              <w:rPr>
                <w:color w:val="auto"/>
                <w:spacing w:val="1"/>
                <w:shd w:val="clear" w:color="auto" w:fill="ffffff"/>
              </w:rPr>
            </w:r>
            <w:r>
              <w:rPr>
                <w:color w:val="auto"/>
                <w:spacing w:val="1"/>
                <w:shd w:val="clear" w:color="auto" w:fill="ffffff"/>
              </w:rPr>
            </w:r>
          </w:p>
        </w:tc>
        <w:tc>
          <w:tcPr>
            <w:tcW w:w="2268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повышение надежности работы котельной и снабжения потребителей тепловой энергии, соблюдение требований промышленной безопасности и технической эксплуатации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4.5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вспомогательного оборудования котельных агрегатов станционный № 1, № 2.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высокая степень износа;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повышение надежности работы котельной и снабжения потребителей тепловой энергии, соблюдение требований промышленной безопасности и технической эксплуатации</w:t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5.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Котельная № 5 (Совхоз)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5.1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Реконструкция основного и вспомогательного оборудования котельной № 5. Приобретение и монтаж автоматической угольной блочно-модульной котельной.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физический износ оборудования (срок эксплуатации 20 лет к моменту реализации мероприятия);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увеличение КПД, технико-экономических показателей котельной;</w:t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повышение надежности теплоснабжения, снижение риска предоставления коммунальных услуг ненадлежащего качества.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5.2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сетевых насосов. Замена физически изношенных насосов сетевых КМ-100-65-200 - станционный №1, станционный № 2 котельной № 5 на современные аналоги с частотно-регулируемым приводом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widowControl w:val="off"/>
              <w:tabs>
                <w:tab w:val="num" w:pos="0" w:leader="none"/>
                <w:tab w:val="left" w:pos="255" w:leader="none"/>
              </w:tabs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физический и моральный износ оборудования (срок эксплуатации 24 лет к моменту реализации мероприятия);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  <w:p>
            <w:pPr>
              <w:jc w:val="both"/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  <w:t xml:space="preserve">снижение эксплуатационных затрат, снижение расходов электроэнергии, повышение надежности работы основного оборудования.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5.3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котельной №5. Приобретение и монтаж котельного агрегата  взамен отработавшего нормативный срок КВм-1,25 (со вспомогательным оборудованием)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  <w:t xml:space="preserve">физический износ морально устаревшего оборудования;</w:t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  <w:p>
            <w:pPr>
              <w:jc w:val="both"/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  <w:t xml:space="preserve">повышение надежности теплоснабжения потребителей.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5.4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vAlign w:val="center"/>
            <w:textDirection w:val="lrTb"/>
            <w:noWrap w:val="false"/>
          </w:tcPr>
          <w:p>
            <w:pPr>
              <w:jc w:val="both"/>
              <w:rPr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Модернизация газоходов котельной №5. Устройство газоочистного оборудования</w:t>
            </w:r>
            <w:r>
              <w:rPr>
                <w:color w:val="auto"/>
                <w:spacing w:val="1"/>
                <w:shd w:val="clear" w:color="auto" w:fill="ffffff"/>
              </w:rPr>
            </w:r>
            <w:r>
              <w:rPr>
                <w:color w:val="auto"/>
                <w:spacing w:val="1"/>
                <w:shd w:val="clear" w:color="auto" w:fill="ffffff"/>
              </w:rPr>
            </w:r>
          </w:p>
        </w:tc>
        <w:tc>
          <w:tcPr>
            <w:tcW w:w="2268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отсутствие очистки уходящих газов;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  <w:p>
            <w:pPr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соблюдение требований природоохранного законодательства и санитарно-эпидемиологических норм;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6.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Прочие мероприятия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widowControl w:val="off"/>
              <w:tabs>
                <w:tab w:val="num" w:pos="0" w:leader="none"/>
                <w:tab w:val="left" w:pos="255" w:leader="none"/>
              </w:tabs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6.1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Приобретение и монтаж блочно-модульного санитарно-бытового помещения для участка тепловых сетей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соблюдение требований законодательства в области охраны труда</w:t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-1"/>
                <w:shd w:val="clear" w:color="auto" w:fill="ffffff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6.2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Приобретение спецтехники с целью обеспечения надежности теплоснабжения Бульдозер SHANTUI SD-16 (или </w:t>
            </w:r>
            <w:r>
              <w:rPr>
                <w:rFonts w:ascii="Times New Roman" w:hAnsi="Times New Roman" w:cs="Times New Roman"/>
                <w:color w:val="auto"/>
              </w:rPr>
              <w:t xml:space="preserve">аналог</w:t>
            </w:r>
            <w:r>
              <w:rPr>
                <w:rFonts w:ascii="Times New Roman" w:hAnsi="Times New Roman" w:cs="Times New Roman"/>
                <w:color w:val="auto"/>
              </w:rPr>
              <w:t xml:space="preserve">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обеспечение надежности теплоснабжения за счет снижения риска возникновения перерывов в загрузке топлива на котельной №1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своевременная выгрузка угля на склад и формирование штабелей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6.3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Приобретение спецтехники с целью обеспечения надежности теплоснабжения. Приобретение кран-манипуляторной установки на базе КАМАЗ</w:t>
            </w:r>
            <w:r>
              <w:rPr>
                <w:rFonts w:ascii="Times New Roman" w:hAnsi="Times New Roman" w:cs="Times New Roman"/>
                <w:color w:val="auto"/>
              </w:rPr>
              <w:t xml:space="preserve"> (или аналог)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обеспечение надежности теплоснабжения за счет снижения риска возникновения перерывов в доставке топлива на котельные № 4 и № 5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  <w:p>
            <w:pPr>
              <w:jc w:val="both"/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доставка материалов (гравий, песок, ж/б) к местам проведения ремонтных работ, вывоз грунта при земляных работах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6.4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Приобретение спецтехники с целью обеспечения надежности теплоснабжения. Фронтальный погрузчик XCMG LW300FN (или аналог)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обеспечение надежности теплоснабжения за счет снижения риска возникновения перерывов в загрузке топлива на котельной №2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  <w:p>
            <w:pPr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своевременная выгрузка угля на склад и формирование штабелей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6.5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Приобретение спецтехники с целью обеспечения надежности теплоснабжения</w:t>
            </w:r>
            <w:r>
              <w:rPr>
                <w:rFonts w:ascii="Times New Roman" w:hAnsi="Times New Roman" w:cs="Times New Roman"/>
                <w:color w:val="auto"/>
              </w:rPr>
              <w:t xml:space="preserve">.</w:t>
            </w:r>
            <w:r>
              <w:rPr>
                <w:rFonts w:ascii="Times New Roman" w:hAnsi="Times New Roman" w:cs="Times New Roman"/>
                <w:color w:val="auto"/>
              </w:rPr>
              <w:t xml:space="preserve"> Самосвал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</w:rPr>
              <w:t xml:space="preserve">(или аналог)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обеспечение надежности теплоснабжения за счет снижения риска возникновения перерывов в доставке топлива на котельные № 4 и № 5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доставка материалов (гравий, песок, ж/б) к местам проведения ремонтных работ, вывоз грунта при земляных работах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color w:val="auto"/>
              </w:rPr>
              <w:t xml:space="preserve">6.6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Площадка размещения золошлаковых отходов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Обеспечение требований экологического законодательства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color w:val="auto"/>
              </w:rPr>
              <w:t xml:space="preserve">6.7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Приобретение спецтехники с целью обеспечения надежности теплоснабжения. Приобретение машины Камаз для транспортирования ЗШО до площадки временного накопления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Обеспечение требований экологического законодательства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«Блочно-модульная котельная на твердом топливе, теплопроизводительностью 12 Гкал/ч до 20 Гкал/ч в село Старый Акульшет Тайшетского района» 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новое строительство с целью обеспечения резервного теплоснабжения микрорайона Центральный город Тайшет, а также обеспечение технической возможности технологического присоединения вновь строящихся объектов к тепловым сетям ОП «ТТС» АО «Байкалэнерго»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392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Строительство котельной мощностью 56 Гкал/ч взамен отработавшей нормативный срок котельной № 2 (ШПЗ)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  <w:t xml:space="preserve">физический износ морально устаревшего оборудования;</w:t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1"/>
                <w:shd w:val="clear" w:color="auto" w:fill="ffffff"/>
              </w:rPr>
              <w:t xml:space="preserve">повышение надежности теплоснабжения потребителей.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  <w:tr>
        <w:tblPrEx/>
        <w:trPr/>
        <w:tc>
          <w:tcPr>
            <w:tcW w:w="340" w:type="pct"/>
            <w:vAlign w:val="center"/>
            <w:textDirection w:val="lrTb"/>
            <w:noWrap w:val="false"/>
          </w:tcPr>
          <w:p>
            <w:pPr>
              <w:jc w:val="both"/>
              <w:rPr>
                <w:color w:val="auto"/>
              </w:rPr>
            </w:pPr>
            <w:r>
              <w:rPr>
                <w:color w:val="auto"/>
              </w:rPr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  <w:tc>
          <w:tcPr>
            <w:tcW w:w="2392" w:type="pct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Строительство блока водогрейных котлов мощностью 50 Гкал/ч с целью обеспечения с целью обеспечения перспективных нагрузок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обеспечени</w:t>
            </w:r>
            <w:r>
              <w:rPr>
                <w:rFonts w:ascii="Times New Roman" w:hAnsi="Times New Roman" w:cs="Times New Roman"/>
                <w:color w:val="auto"/>
              </w:rPr>
              <w:t xml:space="preserve">е</w:t>
            </w:r>
            <w:r>
              <w:rPr>
                <w:rFonts w:ascii="Times New Roman" w:hAnsi="Times New Roman" w:cs="Times New Roman"/>
                <w:color w:val="auto"/>
              </w:rPr>
              <w:t xml:space="preserve"> резервного теплоснабжения </w:t>
            </w:r>
            <w:r>
              <w:rPr>
                <w:rFonts w:ascii="Times New Roman" w:hAnsi="Times New Roman" w:cs="Times New Roman"/>
                <w:color w:val="auto"/>
              </w:rPr>
              <w:t xml:space="preserve">г</w:t>
            </w:r>
            <w:r>
              <w:rPr>
                <w:rFonts w:ascii="Times New Roman" w:hAnsi="Times New Roman" w:cs="Times New Roman"/>
                <w:color w:val="auto"/>
              </w:rPr>
              <w:t xml:space="preserve">. </w:t>
            </w:r>
            <w:r>
              <w:rPr>
                <w:rFonts w:ascii="Times New Roman" w:hAnsi="Times New Roman" w:cs="Times New Roman"/>
                <w:color w:val="auto"/>
              </w:rPr>
              <w:t xml:space="preserve">Тайшет, а также обеспечение технической возможности технологического присоединения вновь строящихся объектов к тепловым сетям ОП «ТТС» АО «Байкалэнерго»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</w:tc>
      </w:tr>
    </w:tbl>
    <w:p>
      <w:pPr>
        <w:ind w:firstLine="709"/>
        <w:jc w:val="both"/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  <w:t xml:space="preserve">Внедрение указанных мероприятий позволит повысить эффективность и уровень надежности функционирования котельных и тепловых сетей.</w:t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p>
      <w:pPr>
        <w:ind w:firstLine="709"/>
        <w:jc w:val="both"/>
        <w:tabs>
          <w:tab w:val="left" w:pos="0" w:leader="none"/>
          <w:tab w:val="left" w:pos="567" w:leader="none"/>
          <w:tab w:val="right" w:pos="9923" w:leader="dot"/>
        </w:tabs>
        <w:rPr>
          <w:color w:val="auto"/>
        </w:rPr>
      </w:pPr>
      <w:r>
        <w:rPr>
          <w:color w:val="auto"/>
          <w:shd w:val="clear" w:color="auto" w:fill="ffffff"/>
        </w:rPr>
        <w:t xml:space="preserve">С целью повышения эффективности работы систем теплоснабжения </w:t>
      </w:r>
      <w:r>
        <w:rPr>
          <w:color w:val="auto"/>
        </w:rPr>
        <w:t xml:space="preserve">муниципального образования «Тайшетский район», расположенных на территории Тайшетского городского поселения, в Таблице 18.1 приведены мероприятия </w:t>
      </w:r>
      <w:r>
        <w:rPr>
          <w:color w:val="auto"/>
          <w:shd w:val="clear" w:color="auto" w:fill="ffffff"/>
        </w:rPr>
        <w:t xml:space="preserve">технического перевооружения модульных источников тепловой энергии.</w:t>
      </w:r>
      <w:r>
        <w:rPr>
          <w:color w:val="auto"/>
        </w:rPr>
      </w:r>
      <w:r>
        <w:rPr>
          <w:color w:val="auto"/>
        </w:rPr>
      </w:r>
    </w:p>
    <w:p>
      <w:pPr>
        <w:jc w:val="right"/>
        <w:tabs>
          <w:tab w:val="left" w:pos="0" w:leader="none"/>
          <w:tab w:val="left" w:pos="567" w:leader="none"/>
          <w:tab w:val="right" w:pos="9923" w:leader="dot"/>
        </w:tabs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p>
      <w:pPr>
        <w:jc w:val="right"/>
        <w:tabs>
          <w:tab w:val="left" w:pos="0" w:leader="none"/>
          <w:tab w:val="left" w:pos="567" w:leader="none"/>
          <w:tab w:val="right" w:pos="9923" w:leader="dot"/>
        </w:tabs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  <w:t xml:space="preserve">Таблица 18.1</w:t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color w:val="auto"/>
        </w:rPr>
      </w:pPr>
      <w:r>
        <w:rPr>
          <w:color w:val="auto"/>
        </w:rPr>
        <w:t xml:space="preserve">Мероприятия</w:t>
      </w:r>
      <w:r>
        <w:rPr>
          <w:color w:val="auto"/>
          <w:shd w:val="clear" w:color="auto" w:fill="ffffff"/>
        </w:rPr>
        <w:t xml:space="preserve"> технического перевооружения модульных источников тепловой энергии</w:t>
      </w:r>
      <w:r>
        <w:rPr>
          <w:color w:val="auto"/>
        </w:rPr>
        <w:t xml:space="preserve"> муниципального образования «Тайшетский район», расположенных на территории </w:t>
      </w:r>
      <w:r>
        <w:rPr>
          <w:color w:val="auto"/>
        </w:rPr>
      </w:r>
      <w:r>
        <w:rPr>
          <w:color w:val="auto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color w:val="auto"/>
          <w:shd w:val="clear" w:color="auto" w:fill="ffffff"/>
        </w:rPr>
      </w:pPr>
      <w:r>
        <w:rPr>
          <w:color w:val="auto"/>
        </w:rPr>
        <w:t xml:space="preserve">Тайшетского городского поселения</w:t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tbl>
      <w:tblPr>
        <w:tblW w:w="0" w:type="auto"/>
        <w:tblCellMar>
          <w:left w:w="74" w:type="dxa"/>
          <w:top w:w="2" w:type="dxa"/>
          <w:right w:w="82" w:type="dxa"/>
        </w:tblCellMar>
        <w:tblLook w:val="04A0" w:firstRow="1" w:lastRow="0" w:firstColumn="1" w:lastColumn="0" w:noHBand="0" w:noVBand="1"/>
      </w:tblPr>
      <w:tblGrid>
        <w:gridCol w:w="477"/>
        <w:gridCol w:w="1864"/>
        <w:gridCol w:w="3687"/>
        <w:gridCol w:w="1254"/>
        <w:gridCol w:w="2228"/>
      </w:tblGrid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0" w:type="auto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№ п/п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0" w:type="auto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2275" w:leader="none"/>
              </w:tabs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Объект теплоснабжения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68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Описание и основные характеристики мероприятия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125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Срок реализации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228" w:type="dxa"/>
            <w:vAlign w:val="center"/>
            <w:textDirection w:val="lrTb"/>
            <w:noWrap w:val="false"/>
          </w:tcPr>
          <w:p>
            <w:pPr>
              <w:ind w:left="-52" w:right="-2"/>
              <w:jc w:val="center"/>
              <w:rPr>
                <w:rFonts w:eastAsiaTheme="minorHAnsi"/>
                <w:color w:val="auto"/>
                <w:spacing w:val="-6"/>
                <w:sz w:val="22"/>
                <w:szCs w:val="22"/>
              </w:rPr>
            </w:pPr>
            <w:r>
              <w:rPr>
                <w:color w:val="auto"/>
                <w:spacing w:val="-6"/>
                <w:sz w:val="22"/>
                <w:szCs w:val="22"/>
              </w:rPr>
              <w:t xml:space="preserve">Планируемая потребность в финансовых средствах</w:t>
            </w:r>
            <w:r>
              <w:rPr>
                <w:rFonts w:eastAsiaTheme="minorHAnsi"/>
                <w:color w:val="auto"/>
                <w:spacing w:val="-6"/>
                <w:sz w:val="22"/>
                <w:szCs w:val="22"/>
                <w:lang w:eastAsia="en-US"/>
              </w:rPr>
              <w:t xml:space="preserve">, рублей (с учетом НДС)</w:t>
            </w:r>
            <w:r>
              <w:rPr>
                <w:rFonts w:eastAsiaTheme="minorHAnsi"/>
                <w:color w:val="auto"/>
                <w:spacing w:val="-6"/>
                <w:sz w:val="22"/>
                <w:szCs w:val="22"/>
              </w:rPr>
            </w:r>
            <w:r>
              <w:rPr>
                <w:rFonts w:eastAsiaTheme="minorHAnsi"/>
                <w:color w:val="auto"/>
                <w:spacing w:val="-6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0" w:type="auto"/>
            <w:vAlign w:val="center"/>
            <w:textDirection w:val="lrTb"/>
            <w:noWrap w:val="false"/>
          </w:tcPr>
          <w:p>
            <w:pPr>
              <w:numPr>
                <w:ilvl w:val="0"/>
                <w:numId w:val="4"/>
              </w:numPr>
              <w:contextualSpacing/>
              <w:ind w:left="0" w:firstLine="0"/>
              <w:jc w:val="both"/>
              <w:rPr>
                <w:rFonts w:eastAsiaTheme="minorEastAsia"/>
                <w:color w:val="auto"/>
                <w:sz w:val="22"/>
                <w:szCs w:val="22"/>
              </w:rPr>
            </w:pPr>
            <w:r>
              <w:rPr>
                <w:rFonts w:eastAsiaTheme="minorEastAsia"/>
                <w:color w:val="auto"/>
                <w:sz w:val="22"/>
                <w:szCs w:val="22"/>
              </w:rPr>
            </w:r>
            <w:r>
              <w:rPr>
                <w:rFonts w:eastAsiaTheme="minorEastAsia"/>
                <w:color w:val="auto"/>
                <w:sz w:val="22"/>
                <w:szCs w:val="22"/>
              </w:rPr>
            </w:r>
            <w:r>
              <w:rPr>
                <w:rFonts w:eastAsiaTheme="minorEastAsia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0" w:type="auto"/>
            <w:textDirection w:val="lrTb"/>
            <w:noWrap w:val="false"/>
          </w:tcPr>
          <w:p>
            <w:pPr>
              <w:jc w:val="both"/>
              <w:tabs>
                <w:tab w:val="right" w:pos="2275" w:leader="none"/>
              </w:tabs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Котельная № 11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687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HAnsi"/>
                <w:color w:val="auto"/>
                <w:spacing w:val="-6"/>
                <w:sz w:val="22"/>
                <w:szCs w:val="22"/>
              </w:rPr>
            </w:pPr>
            <w:r>
              <w:rPr>
                <w:rFonts w:eastAsiaTheme="minorHAnsi"/>
                <w:color w:val="auto"/>
                <w:spacing w:val="-6"/>
                <w:sz w:val="22"/>
                <w:szCs w:val="22"/>
                <w:lang w:eastAsia="en-US"/>
              </w:rPr>
              <w:t xml:space="preserve">Приобретение, монтаж двух энергосберегающих сетевых насосов; монтаж теплообменного оборудования</w:t>
            </w:r>
            <w:r>
              <w:rPr>
                <w:rFonts w:eastAsiaTheme="minorHAnsi"/>
                <w:color w:val="auto"/>
                <w:spacing w:val="-6"/>
                <w:sz w:val="22"/>
                <w:szCs w:val="22"/>
              </w:rPr>
            </w:r>
            <w:r>
              <w:rPr>
                <w:rFonts w:eastAsiaTheme="minorHAnsi"/>
                <w:color w:val="auto"/>
                <w:spacing w:val="-6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125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2023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22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574175,0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41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0" w:type="auto"/>
            <w:textDirection w:val="lrTb"/>
            <w:noWrap w:val="false"/>
          </w:tcPr>
          <w:p>
            <w:pPr>
              <w:numPr>
                <w:ilvl w:val="0"/>
                <w:numId w:val="4"/>
              </w:numPr>
              <w:contextualSpacing/>
              <w:ind w:left="0" w:firstLine="0"/>
              <w:jc w:val="both"/>
              <w:rPr>
                <w:rFonts w:eastAsiaTheme="minorEastAsia"/>
                <w:color w:val="auto"/>
                <w:sz w:val="22"/>
                <w:szCs w:val="22"/>
              </w:rPr>
            </w:pPr>
            <w:r>
              <w:rPr>
                <w:rFonts w:eastAsiaTheme="minorEastAsia"/>
                <w:color w:val="auto"/>
                <w:sz w:val="22"/>
                <w:szCs w:val="22"/>
              </w:rPr>
            </w:r>
            <w:r>
              <w:rPr>
                <w:rFonts w:eastAsiaTheme="minorEastAsia"/>
                <w:color w:val="auto"/>
                <w:sz w:val="22"/>
                <w:szCs w:val="22"/>
              </w:rPr>
            </w:r>
            <w:r>
              <w:rPr>
                <w:rFonts w:eastAsiaTheme="minorEastAsia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0" w:type="auto"/>
            <w:textDirection w:val="lrTb"/>
            <w:noWrap w:val="false"/>
          </w:tcPr>
          <w:p>
            <w:pPr>
              <w:jc w:val="both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Котельная № 12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687" w:type="dxa"/>
            <w:textDirection w:val="lrTb"/>
            <w:noWrap w:val="false"/>
          </w:tcPr>
          <w:p>
            <w:pPr>
              <w:jc w:val="both"/>
              <w:rPr>
                <w:rFonts w:eastAsiaTheme="minorHAnsi"/>
                <w:color w:val="auto"/>
                <w:spacing w:val="-6"/>
                <w:sz w:val="22"/>
                <w:szCs w:val="22"/>
              </w:rPr>
            </w:pPr>
            <w:r>
              <w:rPr>
                <w:rFonts w:eastAsiaTheme="minorHAnsi"/>
                <w:color w:val="auto"/>
                <w:spacing w:val="-6"/>
                <w:sz w:val="22"/>
                <w:szCs w:val="22"/>
                <w:lang w:eastAsia="en-US"/>
              </w:rPr>
              <w:t xml:space="preserve">Приобретение и монтаж двух энергосберегающих сетевых насосов; монтаж теплообменного оборудования</w:t>
            </w:r>
            <w:r>
              <w:rPr>
                <w:rFonts w:eastAsiaTheme="minorHAnsi"/>
                <w:color w:val="auto"/>
                <w:spacing w:val="-6"/>
                <w:sz w:val="22"/>
                <w:szCs w:val="22"/>
              </w:rPr>
            </w:r>
            <w:r>
              <w:rPr>
                <w:rFonts w:eastAsiaTheme="minorHAnsi"/>
                <w:color w:val="auto"/>
                <w:spacing w:val="-6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tcW w:w="125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2024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228" w:type="dxa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504809,0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0" w:type="auto"/>
            <w:vAlign w:val="center"/>
            <w:textDirection w:val="lrTb"/>
            <w:noWrap w:val="false"/>
          </w:tcPr>
          <w:p>
            <w:pPr>
              <w:numPr>
                <w:ilvl w:val="0"/>
                <w:numId w:val="4"/>
              </w:numPr>
              <w:contextualSpacing/>
              <w:ind w:left="0" w:firstLine="0"/>
              <w:jc w:val="both"/>
              <w:rPr>
                <w:rFonts w:eastAsiaTheme="minorEastAsia"/>
                <w:color w:val="auto"/>
                <w:sz w:val="22"/>
                <w:szCs w:val="22"/>
              </w:rPr>
            </w:pPr>
            <w:r>
              <w:rPr>
                <w:rFonts w:eastAsiaTheme="minorEastAsia"/>
                <w:color w:val="auto"/>
                <w:sz w:val="22"/>
                <w:szCs w:val="22"/>
              </w:rPr>
            </w:r>
            <w:r>
              <w:rPr>
                <w:rFonts w:eastAsiaTheme="minorEastAsia"/>
                <w:color w:val="auto"/>
                <w:sz w:val="22"/>
                <w:szCs w:val="22"/>
              </w:rPr>
            </w:r>
            <w:r>
              <w:rPr>
                <w:rFonts w:eastAsiaTheme="minorEastAsia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0" w:type="auto"/>
            <w:textDirection w:val="lrTb"/>
            <w:noWrap w:val="false"/>
          </w:tcPr>
          <w:p>
            <w:pPr>
              <w:jc w:val="both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Котельная № 13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687" w:type="dxa"/>
            <w:textDirection w:val="lrTb"/>
            <w:noWrap w:val="false"/>
          </w:tcPr>
          <w:p>
            <w:pPr>
              <w:jc w:val="both"/>
              <w:rPr>
                <w:rFonts w:eastAsiaTheme="minorHAnsi"/>
                <w:color w:val="auto"/>
                <w:spacing w:val="-6"/>
                <w:sz w:val="22"/>
                <w:szCs w:val="22"/>
              </w:rPr>
            </w:pPr>
            <w:r>
              <w:rPr>
                <w:rFonts w:eastAsiaTheme="minorHAnsi"/>
                <w:color w:val="auto"/>
                <w:spacing w:val="-6"/>
                <w:sz w:val="22"/>
                <w:szCs w:val="22"/>
                <w:lang w:eastAsia="en-US"/>
              </w:rPr>
              <w:t xml:space="preserve">Приобретение и монтаж двух энергосберегающих сетевых насосов; монтаж теплообменного оборудования</w:t>
            </w:r>
            <w:r>
              <w:rPr>
                <w:rFonts w:eastAsiaTheme="minorHAnsi"/>
                <w:color w:val="auto"/>
                <w:spacing w:val="-6"/>
                <w:sz w:val="22"/>
                <w:szCs w:val="22"/>
              </w:rPr>
            </w:r>
            <w:r>
              <w:rPr>
                <w:rFonts w:eastAsiaTheme="minorHAnsi"/>
                <w:color w:val="auto"/>
                <w:spacing w:val="-6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125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22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455268,0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0" w:type="auto"/>
            <w:vAlign w:val="center"/>
            <w:textDirection w:val="lrTb"/>
            <w:noWrap w:val="false"/>
          </w:tcPr>
          <w:p>
            <w:pPr>
              <w:numPr>
                <w:ilvl w:val="0"/>
                <w:numId w:val="4"/>
              </w:numPr>
              <w:contextualSpacing/>
              <w:ind w:left="0" w:firstLine="0"/>
              <w:jc w:val="both"/>
              <w:rPr>
                <w:rFonts w:eastAsiaTheme="minorEastAsia"/>
                <w:color w:val="auto"/>
                <w:sz w:val="22"/>
                <w:szCs w:val="22"/>
              </w:rPr>
            </w:pPr>
            <w:r>
              <w:rPr>
                <w:rFonts w:eastAsiaTheme="minorEastAsia"/>
                <w:color w:val="auto"/>
                <w:sz w:val="22"/>
                <w:szCs w:val="22"/>
              </w:rPr>
            </w:r>
            <w:r>
              <w:rPr>
                <w:rFonts w:eastAsiaTheme="minorEastAsia"/>
                <w:color w:val="auto"/>
                <w:sz w:val="22"/>
                <w:szCs w:val="22"/>
              </w:rPr>
            </w:r>
            <w:r>
              <w:rPr>
                <w:rFonts w:eastAsiaTheme="minorEastAsia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0" w:type="auto"/>
            <w:textDirection w:val="lrTb"/>
            <w:noWrap w:val="false"/>
          </w:tcPr>
          <w:p>
            <w:pPr>
              <w:jc w:val="both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Котельная № 31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687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HAnsi"/>
                <w:color w:val="auto"/>
                <w:spacing w:val="-6"/>
                <w:sz w:val="22"/>
                <w:szCs w:val="22"/>
              </w:rPr>
            </w:pPr>
            <w:r>
              <w:rPr>
                <w:rFonts w:eastAsiaTheme="minorHAnsi"/>
                <w:color w:val="auto"/>
                <w:spacing w:val="-6"/>
                <w:sz w:val="22"/>
                <w:szCs w:val="22"/>
                <w:lang w:eastAsia="en-US"/>
              </w:rPr>
              <w:t xml:space="preserve">Приобретение и монтаж двух энергосберегающих сетевых насосов</w:t>
            </w:r>
            <w:r>
              <w:rPr>
                <w:rFonts w:eastAsiaTheme="minorHAnsi"/>
                <w:color w:val="auto"/>
                <w:spacing w:val="-6"/>
                <w:sz w:val="22"/>
                <w:szCs w:val="22"/>
              </w:rPr>
            </w:r>
            <w:r>
              <w:rPr>
                <w:rFonts w:eastAsiaTheme="minorHAnsi"/>
                <w:color w:val="auto"/>
                <w:spacing w:val="-6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125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2026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22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424463,0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843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0" w:type="auto"/>
            <w:vAlign w:val="center"/>
            <w:textDirection w:val="lrTb"/>
            <w:noWrap w:val="false"/>
          </w:tcPr>
          <w:p>
            <w:pPr>
              <w:numPr>
                <w:ilvl w:val="0"/>
                <w:numId w:val="4"/>
              </w:numPr>
              <w:contextualSpacing/>
              <w:ind w:left="0" w:firstLine="0"/>
              <w:jc w:val="both"/>
              <w:rPr>
                <w:rFonts w:eastAsiaTheme="minorEastAsia"/>
                <w:color w:val="auto"/>
                <w:sz w:val="22"/>
                <w:szCs w:val="22"/>
              </w:rPr>
            </w:pPr>
            <w:r>
              <w:rPr>
                <w:rFonts w:eastAsiaTheme="minorEastAsia"/>
                <w:color w:val="auto"/>
                <w:sz w:val="22"/>
                <w:szCs w:val="22"/>
              </w:rPr>
            </w:r>
            <w:r>
              <w:rPr>
                <w:rFonts w:eastAsiaTheme="minorEastAsia"/>
                <w:color w:val="auto"/>
                <w:sz w:val="22"/>
                <w:szCs w:val="22"/>
              </w:rPr>
            </w:r>
            <w:r>
              <w:rPr>
                <w:rFonts w:eastAsiaTheme="minorEastAsia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0" w:type="auto"/>
            <w:textDirection w:val="lrTb"/>
            <w:noWrap w:val="false"/>
          </w:tcPr>
          <w:p>
            <w:pPr>
              <w:jc w:val="both"/>
              <w:tabs>
                <w:tab w:val="right" w:pos="2275" w:leader="none"/>
              </w:tabs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Котельная МБУДО «ЦДО «Радуга»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687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HAnsi"/>
                <w:color w:val="auto"/>
                <w:spacing w:val="-6"/>
                <w:sz w:val="22"/>
                <w:szCs w:val="22"/>
              </w:rPr>
            </w:pPr>
            <w:r>
              <w:rPr>
                <w:rFonts w:eastAsiaTheme="minorHAnsi"/>
                <w:color w:val="auto"/>
                <w:spacing w:val="-6"/>
                <w:sz w:val="22"/>
                <w:szCs w:val="22"/>
                <w:lang w:eastAsia="en-US"/>
              </w:rPr>
              <w:t xml:space="preserve">Приобретение и монтаж энергосберегающего сетевого насоса; монтаж теплообменного оборудования</w:t>
            </w:r>
            <w:r>
              <w:rPr>
                <w:rFonts w:eastAsiaTheme="minorHAnsi"/>
                <w:color w:val="auto"/>
                <w:spacing w:val="-6"/>
                <w:sz w:val="22"/>
                <w:szCs w:val="22"/>
              </w:rPr>
            </w:r>
            <w:r>
              <w:rPr>
                <w:rFonts w:eastAsiaTheme="minorHAnsi"/>
                <w:color w:val="auto"/>
                <w:spacing w:val="-6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tcW w:w="125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2030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22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361938,0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0" w:type="auto"/>
            <w:vAlign w:val="center"/>
            <w:textDirection w:val="lrTb"/>
            <w:noWrap w:val="false"/>
          </w:tcPr>
          <w:p>
            <w:pPr>
              <w:numPr>
                <w:ilvl w:val="0"/>
                <w:numId w:val="4"/>
              </w:numPr>
              <w:contextualSpacing/>
              <w:ind w:left="0" w:firstLine="0"/>
              <w:jc w:val="both"/>
              <w:rPr>
                <w:rFonts w:eastAsiaTheme="minorEastAsia"/>
                <w:color w:val="auto"/>
                <w:sz w:val="22"/>
                <w:szCs w:val="22"/>
              </w:rPr>
            </w:pPr>
            <w:r>
              <w:rPr>
                <w:rFonts w:eastAsiaTheme="minorEastAsia"/>
                <w:color w:val="auto"/>
                <w:sz w:val="22"/>
                <w:szCs w:val="22"/>
              </w:rPr>
            </w:r>
            <w:r>
              <w:rPr>
                <w:rFonts w:eastAsiaTheme="minorEastAsia"/>
                <w:color w:val="auto"/>
                <w:sz w:val="22"/>
                <w:szCs w:val="22"/>
              </w:rPr>
            </w:r>
            <w:r>
              <w:rPr>
                <w:rFonts w:eastAsiaTheme="minorEastAsia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0" w:type="auto"/>
            <w:textDirection w:val="lrTb"/>
            <w:noWrap w:val="false"/>
          </w:tcPr>
          <w:p>
            <w:pPr>
              <w:jc w:val="both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Котельная № 6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687" w:type="dxa"/>
            <w:textDirection w:val="lrTb"/>
            <w:noWrap w:val="false"/>
          </w:tcPr>
          <w:p>
            <w:pPr>
              <w:jc w:val="both"/>
              <w:rPr>
                <w:rFonts w:eastAsiaTheme="minorHAnsi"/>
                <w:color w:val="auto"/>
                <w:spacing w:val="-6"/>
                <w:sz w:val="22"/>
                <w:szCs w:val="22"/>
              </w:rPr>
            </w:pPr>
            <w:r>
              <w:rPr>
                <w:rFonts w:eastAsiaTheme="minorHAnsi"/>
                <w:color w:val="auto"/>
                <w:spacing w:val="-6"/>
                <w:sz w:val="22"/>
                <w:szCs w:val="22"/>
                <w:lang w:eastAsia="en-US"/>
              </w:rPr>
              <w:t xml:space="preserve">Приобретение и монтаж водогрейного котла 0,63 Гкал/ч</w:t>
            </w:r>
            <w:r>
              <w:rPr>
                <w:rFonts w:eastAsiaTheme="minorHAnsi"/>
                <w:color w:val="auto"/>
                <w:spacing w:val="-6"/>
                <w:sz w:val="22"/>
                <w:szCs w:val="22"/>
              </w:rPr>
            </w:r>
            <w:r>
              <w:rPr>
                <w:rFonts w:eastAsiaTheme="minorHAnsi"/>
                <w:color w:val="auto"/>
                <w:spacing w:val="-6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000000" w:sz="2" w:space="0"/>
              <w:right w:val="single" w:color="000000" w:sz="2" w:space="0"/>
            </w:tcBorders>
            <w:tcW w:w="125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22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791934,0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0" w:type="auto"/>
            <w:vAlign w:val="center"/>
            <w:textDirection w:val="lrTb"/>
            <w:noWrap w:val="false"/>
          </w:tcPr>
          <w:p>
            <w:pPr>
              <w:numPr>
                <w:ilvl w:val="0"/>
                <w:numId w:val="4"/>
              </w:numPr>
              <w:contextualSpacing/>
              <w:ind w:left="0" w:firstLine="0"/>
              <w:jc w:val="both"/>
              <w:rPr>
                <w:rFonts w:eastAsiaTheme="minorEastAsia"/>
                <w:color w:val="auto"/>
                <w:sz w:val="22"/>
                <w:szCs w:val="22"/>
              </w:rPr>
            </w:pPr>
            <w:r>
              <w:rPr>
                <w:rFonts w:eastAsiaTheme="minorEastAsia"/>
                <w:color w:val="auto"/>
                <w:sz w:val="22"/>
                <w:szCs w:val="22"/>
              </w:rPr>
            </w:r>
            <w:r>
              <w:rPr>
                <w:rFonts w:eastAsiaTheme="minorEastAsia"/>
                <w:color w:val="auto"/>
                <w:sz w:val="22"/>
                <w:szCs w:val="22"/>
              </w:rPr>
            </w:r>
            <w:r>
              <w:rPr>
                <w:rFonts w:eastAsiaTheme="minorEastAsia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0" w:type="auto"/>
            <w:textDirection w:val="lrTb"/>
            <w:noWrap w:val="false"/>
          </w:tcPr>
          <w:p>
            <w:pPr>
              <w:jc w:val="both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Котельная № 14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687" w:type="dxa"/>
            <w:textDirection w:val="lrTb"/>
            <w:noWrap w:val="false"/>
          </w:tcPr>
          <w:p>
            <w:pPr>
              <w:jc w:val="both"/>
              <w:rPr>
                <w:rFonts w:eastAsiaTheme="minorHAnsi"/>
                <w:color w:val="auto"/>
                <w:spacing w:val="-6"/>
                <w:sz w:val="22"/>
                <w:szCs w:val="22"/>
              </w:rPr>
            </w:pPr>
            <w:r>
              <w:rPr>
                <w:rFonts w:eastAsiaTheme="minorHAnsi"/>
                <w:color w:val="auto"/>
                <w:spacing w:val="-6"/>
                <w:sz w:val="22"/>
                <w:szCs w:val="22"/>
                <w:lang w:eastAsia="en-US"/>
              </w:rPr>
              <w:t xml:space="preserve">Приобретение и монтаж двух энергосберегающих сетевых насосов; монтаж теплообменного оборудования</w:t>
            </w:r>
            <w:r>
              <w:rPr>
                <w:rFonts w:eastAsiaTheme="minorHAnsi"/>
                <w:color w:val="auto"/>
                <w:spacing w:val="-6"/>
                <w:sz w:val="22"/>
                <w:szCs w:val="22"/>
              </w:rPr>
            </w:r>
            <w:r>
              <w:rPr>
                <w:rFonts w:eastAsiaTheme="minorHAnsi"/>
                <w:color w:val="auto"/>
                <w:spacing w:val="-6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125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22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504809,0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4"/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0" w:type="auto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Итого по муниципальному образованию </w:t>
            </w:r>
            <w:r>
              <w:rPr>
                <w:color w:val="auto"/>
                <w:sz w:val="22"/>
                <w:szCs w:val="22"/>
              </w:rPr>
              <w:t xml:space="preserve">«Тайшетский район»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22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3617396,0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</w:tr>
    </w:tbl>
    <w:p>
      <w:pPr>
        <w:ind w:firstLine="709"/>
        <w:jc w:val="both"/>
        <w:keepLines/>
        <w:keepNext/>
        <w:widowControl w:val="off"/>
        <w:rPr>
          <w:bCs/>
          <w:color w:val="auto"/>
        </w:rPr>
      </w:pPr>
      <w:r>
        <w:rPr>
          <w:color w:val="auto"/>
        </w:rPr>
      </w:r>
      <w:bookmarkStart w:id="17" w:name="_Toc149054974"/>
      <w:r>
        <w:rPr>
          <w:bCs/>
          <w:color w:val="auto"/>
        </w:rPr>
        <w:t xml:space="preserve">5.4. Графики совместной работы источников тепловой энергии, функционирующих в режиме комбинированной выработки электрической и тепловой энергии и котельных</w:t>
      </w:r>
      <w:bookmarkEnd w:id="17"/>
      <w:r>
        <w:rPr>
          <w:bCs/>
          <w:color w:val="auto"/>
        </w:rPr>
      </w:r>
      <w:r>
        <w:rPr>
          <w:bCs/>
          <w:color w:val="auto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  <w:t xml:space="preserve">На территории Тайшетского </w:t>
      </w:r>
      <w:r>
        <w:rPr>
          <w:color w:val="auto"/>
          <w:shd w:val="clear" w:color="auto" w:fill="ffffff"/>
        </w:rPr>
        <w:t xml:space="preserve">городского поселения источники тепловой энергии, функционирующие в режиме комбинированной выработки электрической и тепловой энергии, по состоянию на отчетный (базовый) 202</w:t>
      </w:r>
      <w:r>
        <w:rPr>
          <w:color w:val="auto"/>
          <w:shd w:val="clear" w:color="auto" w:fill="ffffff"/>
        </w:rPr>
        <w:t xml:space="preserve">4</w:t>
      </w:r>
      <w:r>
        <w:rPr>
          <w:color w:val="auto"/>
          <w:shd w:val="clear" w:color="auto" w:fill="ffffff"/>
        </w:rPr>
        <w:t xml:space="preserve"> год отсутствуют.</w:t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bCs/>
          <w:color w:val="auto"/>
        </w:rPr>
      </w:pPr>
      <w:r>
        <w:rPr>
          <w:bCs/>
          <w:color w:val="auto"/>
        </w:rPr>
        <w:t xml:space="preserve">5.5. Меры по</w:t>
      </w:r>
      <w:r>
        <w:rPr>
          <w:bCs/>
          <w:color w:val="auto"/>
        </w:rPr>
        <w:t xml:space="preserve"> выводу из эксплуатации, консервации и демонтажу избыточных источников тепловой энергии, а также источников тепловой энергии, выработавших нормативный срок службы, в случае если продление срока службы технически невозможно или экономически нецелесообразно.</w:t>
      </w:r>
      <w:r>
        <w:rPr>
          <w:bCs/>
          <w:color w:val="auto"/>
        </w:rPr>
      </w:r>
      <w:r>
        <w:rPr>
          <w:bCs/>
          <w:color w:val="auto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color w:val="auto"/>
          <w:shd w:val="clear" w:color="auto" w:fill="ffffff"/>
        </w:rPr>
        <w:t xml:space="preserve">На территории Тайшетского городского поселения избыточные источники тепловой энергии, источники тепловой энергии, выработавшие нормативный срок службы, по состоянию на отчетный (базовый) 202</w:t>
      </w:r>
      <w:r>
        <w:rPr>
          <w:color w:val="auto"/>
          <w:shd w:val="clear" w:color="auto" w:fill="ffffff"/>
        </w:rPr>
        <w:t xml:space="preserve">4</w:t>
      </w:r>
      <w:r>
        <w:rPr>
          <w:color w:val="auto"/>
          <w:shd w:val="clear" w:color="auto" w:fill="ffffff"/>
        </w:rPr>
        <w:t xml:space="preserve"> год отсу</w:t>
      </w:r>
      <w:r>
        <w:rPr>
          <w:shd w:val="clear" w:color="auto" w:fill="ffffff"/>
        </w:rPr>
        <w:t xml:space="preserve">тствуют.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Вывод из эксплуатации, консервации и демонтаж избыточных источников тепловой энергии, источников тепловой энергии, выработавших нормативный срок службы, на перспективу не прогнозируется.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18" w:name="_Toc149054975"/>
      <w:r>
        <w:rPr>
          <w:bCs/>
        </w:rPr>
        <w:t xml:space="preserve">5.6. Меры по переоборудованию котельных в источники тепловой энергии, функционирующие в режиме комбинированной выработки </w:t>
      </w:r>
      <w:r>
        <w:rPr>
          <w:bCs/>
          <w:shd w:val="clear" w:color="auto" w:fill="ffffff"/>
        </w:rPr>
        <w:t xml:space="preserve">электрической и тепловой энергии</w:t>
      </w:r>
      <w:bookmarkEnd w:id="18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widowControl w:val="off"/>
        <w:rPr>
          <w:shd w:val="clear" w:color="auto" w:fill="ffffff"/>
        </w:rPr>
      </w:pPr>
      <w:r>
        <w:rPr>
          <w:shd w:val="clear" w:color="auto" w:fill="ffffff"/>
        </w:rPr>
        <w:t xml:space="preserve">Потребление электрической энергии </w:t>
      </w:r>
      <w:r>
        <w:rPr>
          <w:rFonts w:eastAsia="Calibri"/>
          <w:lang w:eastAsia="en-US"/>
        </w:rPr>
        <w:t xml:space="preserve">котельными Тайшетского городского поселения</w:t>
      </w:r>
      <w:r>
        <w:rPr>
          <w:shd w:val="clear" w:color="auto" w:fill="ffffff"/>
        </w:rPr>
        <w:t xml:space="preserve"> на собственные нужды компенсиру</w:t>
      </w:r>
      <w:r>
        <w:rPr>
          <w:shd w:val="clear" w:color="auto" w:fill="ffffff"/>
        </w:rPr>
        <w:t xml:space="preserve">ется существующим электроснабжением котельных. Внедрение оборудования, позволяющего осуществлять в котельных комбинированную выработку электрической и тепловой энергии, нецелесообразно и нерентабельно. Основные потребители тепловой энергии, вырабатываемой </w:t>
      </w:r>
      <w:r>
        <w:rPr>
          <w:rFonts w:eastAsia="Calibri"/>
          <w:lang w:eastAsia="en-US"/>
        </w:rPr>
        <w:t xml:space="preserve">котельными,</w:t>
      </w:r>
      <w:r>
        <w:rPr>
          <w:shd w:val="clear" w:color="auto" w:fill="ffffff"/>
        </w:rPr>
        <w:t xml:space="preserve"> не имеют необходимых финансовых средств на единовременные затраты по реализации процесса комбинированной выработки электрической и тепловой энергии.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Внедрение мер по переоборудованию </w:t>
      </w:r>
      <w:r>
        <w:rPr>
          <w:rFonts w:eastAsia="Calibri"/>
          <w:lang w:eastAsia="en-US"/>
        </w:rPr>
        <w:t xml:space="preserve">котельных Тайшетского городского поселения</w:t>
      </w:r>
      <w:r>
        <w:rPr>
          <w:shd w:val="clear" w:color="auto" w:fill="ffffff"/>
        </w:rPr>
        <w:t xml:space="preserve"> в источники тепловой энергии, функционирующие в режиме комбинированной выработки электрической и тепловой энергии, на перспективу не прогнозируется.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19" w:name="_Toc149054976"/>
      <w:r>
        <w:rPr>
          <w:bCs/>
          <w:shd w:val="clear" w:color="auto" w:fill="ffffff"/>
        </w:rPr>
        <w:t xml:space="preserve">5.7.</w:t>
      </w:r>
      <w:r>
        <w:rPr>
          <w:bCs/>
          <w:shd w:val="clear" w:color="auto" w:fill="ffffff"/>
        </w:rPr>
        <w:t xml:space="preserve"> Меры по переводу котельных, размещенных в существующих и расширяемых зонах действия источников тепловой энергии, функционирующих в режиме комбинированной выработки электрической и тепловой энергии, в пиковый режим работы, либо по выводу их из эксплуатации</w:t>
      </w:r>
      <w:bookmarkEnd w:id="19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tabs>
          <w:tab w:val="left" w:pos="0" w:leader="none"/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На территории Тайшетского городского поселения зоны действия источников тепловой энергии, функционирующих в режиме комбинированной выработки электрической и тепловой энергии, по состоянию на отчетный (базовый) 2022 год отсутствуют.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widowControl w:val="off"/>
        <w:rPr>
          <w:spacing w:val="-1"/>
          <w:shd w:val="clear" w:color="auto" w:fill="ffffff"/>
          <w:lang w:eastAsia="en-US"/>
        </w:rPr>
      </w:pPr>
      <w:r>
        <w:rPr>
          <w:spacing w:val="-1"/>
          <w:shd w:val="clear" w:color="auto" w:fill="ffffff"/>
          <w:lang w:eastAsia="en-US"/>
        </w:rPr>
        <w:t xml:space="preserve">Перевод электрокотельной ДТВ ОАО «РЖД»</w:t>
      </w:r>
      <w:r>
        <w:rPr>
          <w:spacing w:val="-1"/>
          <w:shd w:val="clear" w:color="auto" w:fill="ffffff"/>
          <w:lang w:eastAsia="en-US"/>
        </w:rPr>
        <w:t xml:space="preserve"> в пиковый режим работы при передаче нагрузок на котельную №2 (ШПЗ) не требует строительства и реконструкции тепловых сетей для повышения эффективности функционирования системы теплоснабжения, так как электрокотельная находится в зоне потребления нагрузок.</w:t>
      </w:r>
      <w:r>
        <w:rPr>
          <w:spacing w:val="-1"/>
          <w:shd w:val="clear" w:color="auto" w:fill="ffffff"/>
          <w:lang w:eastAsia="en-US"/>
        </w:rPr>
      </w:r>
      <w:r>
        <w:rPr>
          <w:spacing w:val="-1"/>
          <w:shd w:val="clear" w:color="auto" w:fill="ffffff"/>
          <w:lang w:eastAsia="en-US"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20" w:name="_Toc149054977"/>
      <w:r>
        <w:rPr>
          <w:bCs/>
          <w:shd w:val="clear" w:color="auto" w:fill="ffffff"/>
        </w:rPr>
        <w:t xml:space="preserve">5.8. Температурный график отпуска тепловой энергии для каждого источника тепловой энергии или группы источников тепловой энергии в системе теплоснабжения, работающей на общую тепловую сеть, и оценку затрат при необходимости его изменения</w:t>
      </w:r>
      <w:bookmarkEnd w:id="20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="Calibri"/>
          <w:szCs w:val="22"/>
          <w:shd w:val="clear" w:color="auto" w:fill="ffffff"/>
          <w:lang w:eastAsia="en-US"/>
        </w:rPr>
      </w:pPr>
      <w:r>
        <w:rPr>
          <w:rFonts w:eastAsia="Calibri"/>
          <w:szCs w:val="22"/>
          <w:shd w:val="clear" w:color="auto" w:fill="ffffff"/>
          <w:lang w:eastAsia="en-US"/>
        </w:rPr>
        <w:t xml:space="preserve">Изменение температурного графика отпуска тепловой энергии для каждо</w:t>
      </w:r>
      <w:r>
        <w:rPr>
          <w:rFonts w:eastAsia="Calibri"/>
          <w:szCs w:val="22"/>
          <w:shd w:val="clear" w:color="auto" w:fill="ffffff"/>
          <w:lang w:eastAsia="en-US"/>
        </w:rPr>
        <w:t xml:space="preserve">го источника тепловой энергии не планируется. Оценка затраты при изменении температурного графика не актуальна. Группы источников тепловой энергии в системе теплоснабжения Тайшетского городского поселения, работающей на общую тепловую сеть не организованы.</w:t>
      </w:r>
      <w:r>
        <w:rPr>
          <w:rFonts w:eastAsia="Calibri"/>
          <w:szCs w:val="22"/>
          <w:shd w:val="clear" w:color="auto" w:fill="ffffff"/>
          <w:lang w:eastAsia="en-US"/>
        </w:rPr>
      </w:r>
      <w:r>
        <w:rPr>
          <w:rFonts w:eastAsia="Calibri"/>
          <w:szCs w:val="22"/>
          <w:shd w:val="clear" w:color="auto" w:fill="ffffff"/>
          <w:lang w:eastAsia="en-US"/>
        </w:rPr>
      </w:r>
    </w:p>
    <w:p>
      <w:pPr>
        <w:ind w:firstLine="709"/>
        <w:jc w:val="both"/>
        <w:widowControl w:val="off"/>
        <w:rPr>
          <w:rFonts w:eastAsia="Calibri"/>
          <w:szCs w:val="22"/>
          <w:shd w:val="clear" w:color="auto" w:fill="ffffff"/>
          <w:lang w:eastAsia="en-US"/>
        </w:rPr>
      </w:pPr>
      <w:r>
        <w:rPr>
          <w:rFonts w:eastAsia="Calibri"/>
          <w:szCs w:val="22"/>
          <w:shd w:val="clear" w:color="auto" w:fill="ffffff"/>
          <w:lang w:eastAsia="en-US"/>
        </w:rPr>
        <w:t xml:space="preserve">В настоящее время температурный график отпуска тепловой энергии для каждого источника составляет:</w:t>
      </w:r>
      <w:r>
        <w:rPr>
          <w:rFonts w:eastAsia="Calibri"/>
          <w:szCs w:val="22"/>
          <w:shd w:val="clear" w:color="auto" w:fill="ffffff"/>
          <w:lang w:eastAsia="en-US"/>
        </w:rPr>
      </w:r>
      <w:r>
        <w:rPr>
          <w:rFonts w:eastAsia="Calibri"/>
          <w:szCs w:val="22"/>
          <w:shd w:val="clear" w:color="auto" w:fill="ffffff"/>
          <w:lang w:eastAsia="en-US"/>
        </w:rPr>
      </w:r>
    </w:p>
    <w:p>
      <w:pPr>
        <w:ind w:firstLine="709"/>
        <w:jc w:val="both"/>
        <w:widowControl w:val="off"/>
      </w:pPr>
      <w:r>
        <w:t xml:space="preserve">Котельная №1 (ТКСИ). Способ регулирования отпуска тепловой энергии - качественный, на отопл</w:t>
      </w:r>
      <w:r>
        <w:t xml:space="preserve">ение по температурному графику 95/70°С со «срезкой» на 60°С; выбор температурного графика обусловлен отсутствием центральных тепловых пунктов, наличием нагрузки по отоплению и ГВС с непосредственным (без смешения) присоединением абонентов к тепловым сетям.</w:t>
      </w:r>
      <w:r/>
    </w:p>
    <w:p>
      <w:pPr>
        <w:ind w:firstLine="709"/>
        <w:jc w:val="both"/>
      </w:pPr>
      <w:r>
        <w:t xml:space="preserve">Котельная № 2 (ШПЗ). Способ регулирования отпуска тепловой энергии - качественный по температурному графику 95/70°С со «срезкой» на 65°С; выбор </w:t>
      </w:r>
      <w:r>
        <w:t xml:space="preserve">температурного графика обусловлен отсутствием центральных тепловых пунктов, наличием отопительной нагрузки и ГВС с непосредственным присоединением абонентов к тепловым сетям.</w:t>
      </w:r>
      <w:r/>
    </w:p>
    <w:p>
      <w:pPr>
        <w:ind w:firstLine="709"/>
        <w:jc w:val="both"/>
        <w:widowControl w:val="off"/>
      </w:pPr>
      <w:r>
        <w:t xml:space="preserve">Котельная № 3 (Мелькомбинат). Способ регулирования отпуска тепловой</w:t>
      </w:r>
      <w:r>
        <w:t xml:space="preserve"> энергии - качественный, по температурному графику 80/62°С; выбор температурного графика обусловлен отсутствием центральных тепловых пунктов, наличием только отопительной нагрузки с непосредственным (без смешения) присоединением абонентов к тепловым сетям.</w:t>
      </w:r>
      <w:r/>
    </w:p>
    <w:p>
      <w:pPr>
        <w:ind w:firstLine="709"/>
        <w:jc w:val="both"/>
      </w:pPr>
      <w:r>
        <w:t xml:space="preserve">Котельная № 4 (Экспедиция 5). Способ регулирования отпуска тепловой</w:t>
      </w:r>
      <w:r>
        <w:t xml:space="preserve"> энергии - качественный, по температурному графику 75/55°С; выбор температурного графика обусловлен отсутствием центральных тепловых пунктов, наличием только отопительной нагрузки с непосредственным (без смешения) присоединением абонентов к тепловым сетям.</w:t>
      </w:r>
      <w:r/>
    </w:p>
    <w:p>
      <w:pPr>
        <w:ind w:firstLine="709"/>
        <w:jc w:val="both"/>
        <w:widowControl w:val="off"/>
      </w:pPr>
      <w:r>
        <w:t xml:space="preserve">Котельная № 5 (Совхоз). Способ регулирования отпуска тепловой</w:t>
      </w:r>
      <w:r>
        <w:t xml:space="preserve"> энергии - качественный, по температурному графику 70/50°С; выбор температурного графика обусловлен отсутствием центральных тепловых пунктов, наличием только отопительной нагрузки с непосредственным (без смешения) присоединением абонентов к тепловым сетям.</w:t>
      </w:r>
      <w:r/>
    </w:p>
    <w:p>
      <w:pPr>
        <w:ind w:firstLine="709"/>
        <w:jc w:val="both"/>
        <w:widowControl w:val="off"/>
      </w:pPr>
      <w:r>
        <w:t xml:space="preserve">Электрокотельная ДТВ ОАО «РЖД». Способ регулирования отпуска тепловой энергии - качественный, на отопление п</w:t>
      </w:r>
      <w:r>
        <w:t xml:space="preserve">о температурному графику 90/60°С; выбор температурного графика обусловлен отсутствием центральных тепловых пунктов, наличием отопительной нагрузки с незначительной нагрузкой по ГВС, непосредственным (без смешения) присоединением абонентов к тепловым сетям.</w:t>
      </w:r>
      <w:r/>
    </w:p>
    <w:p>
      <w:pPr>
        <w:ind w:firstLine="709"/>
        <w:jc w:val="both"/>
        <w:widowControl w:val="off"/>
      </w:pPr>
      <w:r>
        <w:t xml:space="preserve">Электрокотельная ПС-500. Способ рег</w:t>
      </w:r>
      <w:r>
        <w:t xml:space="preserve">улирования отпуска тепловой энергии - качественный, на отопление по температурному графику 95/70°С; выбор температурного графика обусловлен отсутствием центральных тепловых пунктов, непосредственным (без смешения) присоединением абонентов к тепловым сетям.</w:t>
      </w:r>
      <w:r/>
    </w:p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Графики изменения температур теплоносителя для </w:t>
      </w:r>
      <w:r>
        <w:rPr>
          <w:rFonts w:eastAsiaTheme="minorHAnsi"/>
          <w:lang w:eastAsia="en-US"/>
        </w:rPr>
        <w:t xml:space="preserve">котельных </w:t>
      </w:r>
      <w:r>
        <w:rPr>
          <w:rFonts w:eastAsiaTheme="minorEastAsia"/>
          <w:shd w:val="clear" w:color="auto" w:fill="ffffff"/>
        </w:rPr>
        <w:t xml:space="preserve">в зависимости от температур наружного воздуха по температурному графику представлены на Рисунках 1, 2, 3, 4, 5, 6, 7 части 2 главы 1 Обосновывающих материалов.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left" w:pos="0" w:leader="none"/>
          <w:tab w:val="left" w:pos="567" w:leader="none"/>
          <w:tab w:val="right" w:pos="9923" w:leader="dot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Объем отпуска тепловой энергии по каждой котельной представлен на Рисунках 2, 3, 4, 5, 6 (не приводятся).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Расчет отпуска тепловой энергии </w:t>
      </w:r>
      <w:r>
        <w:t xml:space="preserve">котельной №1 (ТКСИ)</w:t>
      </w:r>
      <w:r>
        <w:rPr>
          <w:rFonts w:eastAsia="Calibri"/>
          <w:lang w:eastAsia="en-US"/>
        </w:rPr>
        <w:t xml:space="preserve"> в тепловые сети </w:t>
      </w:r>
      <w:r>
        <w:rPr>
          <w:shd w:val="clear" w:color="auto" w:fill="ffffff"/>
        </w:rPr>
        <w:t xml:space="preserve">в течение отчетного (базового) 202</w:t>
      </w:r>
      <w:r>
        <w:rPr>
          <w:shd w:val="clear" w:color="auto" w:fill="ffffff"/>
        </w:rPr>
        <w:t xml:space="preserve">4</w:t>
      </w:r>
      <w:r>
        <w:rPr>
          <w:shd w:val="clear" w:color="auto" w:fill="ffffff"/>
        </w:rPr>
        <w:t xml:space="preserve"> года при температурном графике 95/70 °С представлен в Таблице 19.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right="-2"/>
        <w:jc w:val="right"/>
        <w:rPr>
          <w:shd w:val="clear" w:color="auto" w:fill="ffffff"/>
        </w:rPr>
      </w:pPr>
      <w:r>
        <w:rPr>
          <w:shd w:val="clear" w:color="auto" w:fill="ffffff"/>
        </w:rPr>
        <w:t xml:space="preserve">Таблица 19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center"/>
        <w:rPr>
          <w:shd w:val="clear" w:color="auto" w:fill="ffffff"/>
        </w:rPr>
      </w:pPr>
      <w:r>
        <w:rPr>
          <w:shd w:val="clear" w:color="auto" w:fill="ffffff"/>
        </w:rPr>
        <w:t xml:space="preserve">Расчет отпуска тепловой энергии </w:t>
      </w:r>
      <w:r>
        <w:t xml:space="preserve">котельной №1 (ТКСИ)</w:t>
      </w:r>
      <w:r>
        <w:rPr>
          <w:rFonts w:eastAsia="Calibri"/>
          <w:lang w:eastAsia="en-US"/>
        </w:rPr>
        <w:t xml:space="preserve"> в тепловые сети </w:t>
      </w:r>
      <w:r>
        <w:rPr>
          <w:shd w:val="clear" w:color="auto" w:fill="ffffff"/>
        </w:rPr>
        <w:t xml:space="preserve">в течение отчетного (базового) 202</w:t>
      </w:r>
      <w:r>
        <w:rPr>
          <w:shd w:val="clear" w:color="auto" w:fill="ffffff"/>
        </w:rPr>
        <w:t xml:space="preserve">4</w:t>
      </w:r>
      <w:r>
        <w:rPr>
          <w:shd w:val="clear" w:color="auto" w:fill="ffffff"/>
        </w:rPr>
        <w:t xml:space="preserve"> года при температурном графике 95/70 °С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tbl>
      <w:tblPr>
        <w:tblW w:w="9498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426"/>
        <w:gridCol w:w="425"/>
        <w:gridCol w:w="567"/>
        <w:gridCol w:w="567"/>
        <w:gridCol w:w="425"/>
        <w:gridCol w:w="567"/>
        <w:gridCol w:w="567"/>
        <w:gridCol w:w="709"/>
        <w:gridCol w:w="567"/>
        <w:gridCol w:w="567"/>
        <w:gridCol w:w="567"/>
        <w:gridCol w:w="567"/>
        <w:gridCol w:w="709"/>
      </w:tblGrid>
      <w:tr>
        <w:tblPrEx/>
        <w:trPr/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Наименование параметра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  <w:tc>
          <w:tcPr>
            <w:gridSpan w:val="13"/>
            <w:tcW w:w="7230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Значение параметра в течение отчетного (базового) 202</w:t>
            </w:r>
            <w:r>
              <w:rPr>
                <w:sz w:val="22"/>
                <w:szCs w:val="22"/>
                <w:shd w:val="clear" w:color="auto" w:fill="ffffff"/>
              </w:rPr>
              <w:t xml:space="preserve">4</w:t>
            </w:r>
            <w:r>
              <w:rPr>
                <w:sz w:val="22"/>
                <w:szCs w:val="22"/>
                <w:shd w:val="clear" w:color="auto" w:fill="ffffff"/>
              </w:rPr>
              <w:t xml:space="preserve"> года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Месяц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  <w:tc>
          <w:tcPr>
            <w:tcW w:w="426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</w:rPr>
              <w:t xml:space="preserve">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425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</w:rPr>
              <w:t xml:space="preserve">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</w:rPr>
              <w:t xml:space="preserve">III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</w:rPr>
              <w:t xml:space="preserve">IV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425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</w:rPr>
              <w:t xml:space="preserve">V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</w:rPr>
              <w:t xml:space="preserve">VI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</w:rPr>
              <w:t xml:space="preserve">VII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</w:rPr>
              <w:t xml:space="preserve">VIII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</w:rPr>
              <w:t xml:space="preserve">IX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</w:rPr>
              <w:t xml:space="preserve">X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</w:rPr>
              <w:t xml:space="preserve">XI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</w:rPr>
              <w:t xml:space="preserve">XII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</w:rPr>
              <w:t xml:space="preserve">202</w:t>
            </w: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Среднемесячная температура воздуха, °С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  <w:tc>
          <w:tcPr>
            <w:tcW w:w="426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-1</w:t>
            </w:r>
            <w:r>
              <w:rPr>
                <w:sz w:val="22"/>
                <w:szCs w:val="22"/>
              </w:rPr>
              <w:t xml:space="preserve">6</w:t>
            </w:r>
            <w:r>
              <w:rPr>
                <w:sz w:val="22"/>
                <w:szCs w:val="22"/>
              </w:rPr>
              <w:t xml:space="preserve">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-1</w:t>
            </w:r>
            <w:r>
              <w:rPr>
                <w:sz w:val="22"/>
                <w:szCs w:val="22"/>
              </w:rPr>
              <w:t xml:space="preserve">7,3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  <w:t xml:space="preserve">3,7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-4,3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-11,5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Объем отпуска тепловой энергии в тепловые сети, Гкал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  <w:tc>
          <w:tcPr>
            <w:tcW w:w="426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13996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12029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10328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9398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4977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5327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9852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11533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94096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Расчет отпуска тепловой энергии </w:t>
      </w:r>
      <w:r>
        <w:t xml:space="preserve">котельной № 2 (ШПЗ) в тепловые сети </w:t>
      </w:r>
      <w:r>
        <w:rPr>
          <w:shd w:val="clear" w:color="auto" w:fill="ffffff"/>
        </w:rPr>
        <w:t xml:space="preserve">в т</w:t>
      </w:r>
      <w:r>
        <w:rPr>
          <w:shd w:val="clear" w:color="auto" w:fill="ffffff"/>
        </w:rPr>
        <w:t xml:space="preserve">ечение отчетного (базового) 2024</w:t>
      </w:r>
      <w:r>
        <w:rPr>
          <w:shd w:val="clear" w:color="auto" w:fill="ffffff"/>
        </w:rPr>
        <w:t xml:space="preserve"> года при температурном графике 95/70°С представлен в Таблице 20.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right"/>
        <w:rPr>
          <w:shd w:val="clear" w:color="auto" w:fill="ffffff"/>
        </w:rPr>
      </w:pPr>
      <w:r>
        <w:rPr>
          <w:shd w:val="clear" w:color="auto" w:fill="ffffff"/>
        </w:rPr>
        <w:t xml:space="preserve">Таблица 20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center"/>
        <w:rPr>
          <w:shd w:val="clear" w:color="auto" w:fill="ffffff"/>
        </w:rPr>
      </w:pPr>
      <w:r>
        <w:rPr>
          <w:shd w:val="clear" w:color="auto" w:fill="ffffff"/>
        </w:rPr>
        <w:t xml:space="preserve">Расчет отпуска тепловой энергии </w:t>
      </w:r>
      <w:r>
        <w:t xml:space="preserve">котельной № 2 (ШПЗ) в тепловые сети </w:t>
      </w:r>
      <w:r>
        <w:rPr>
          <w:shd w:val="clear" w:color="auto" w:fill="ffffff"/>
        </w:rPr>
        <w:t xml:space="preserve">в течение отчетного (базового) 202</w:t>
      </w:r>
      <w:r>
        <w:rPr>
          <w:shd w:val="clear" w:color="auto" w:fill="ffffff"/>
        </w:rPr>
        <w:t xml:space="preserve">4</w:t>
      </w:r>
      <w:r>
        <w:rPr>
          <w:shd w:val="clear" w:color="auto" w:fill="ffffff"/>
        </w:rPr>
        <w:t xml:space="preserve"> года при температурном графике 95/70°С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tbl>
      <w:tblPr>
        <w:tblW w:w="9498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426"/>
        <w:gridCol w:w="425"/>
        <w:gridCol w:w="567"/>
        <w:gridCol w:w="567"/>
        <w:gridCol w:w="425"/>
        <w:gridCol w:w="567"/>
        <w:gridCol w:w="567"/>
        <w:gridCol w:w="709"/>
        <w:gridCol w:w="567"/>
        <w:gridCol w:w="567"/>
        <w:gridCol w:w="567"/>
        <w:gridCol w:w="567"/>
        <w:gridCol w:w="709"/>
      </w:tblGrid>
      <w:tr>
        <w:tblPrEx/>
        <w:trPr>
          <w:tblHeader/>
        </w:trPr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Наименование параметра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  <w:tc>
          <w:tcPr>
            <w:gridSpan w:val="13"/>
            <w:tcW w:w="723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Значение параметра в течение отчетного (базового) 202</w:t>
            </w:r>
            <w:r>
              <w:rPr>
                <w:sz w:val="22"/>
                <w:szCs w:val="22"/>
                <w:shd w:val="clear" w:color="auto" w:fill="ffffff"/>
              </w:rPr>
              <w:t xml:space="preserve">4</w:t>
            </w:r>
            <w:r>
              <w:rPr>
                <w:sz w:val="22"/>
                <w:szCs w:val="22"/>
                <w:shd w:val="clear" w:color="auto" w:fill="ffffff"/>
              </w:rPr>
              <w:t xml:space="preserve"> года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Месяц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  <w:tc>
          <w:tcPr>
            <w:tcW w:w="42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I 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42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III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IV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42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V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VI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VII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VIII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IX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X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XI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XII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202</w:t>
            </w:r>
            <w:r>
              <w:rPr>
                <w:sz w:val="22"/>
                <w:szCs w:val="22"/>
                <w:shd w:val="clear" w:color="auto" w:fill="ffffff"/>
              </w:rPr>
              <w:t xml:space="preserve">4</w:t>
            </w:r>
            <w:r>
              <w:rPr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cantSplit/>
          <w:trHeight w:val="746"/>
        </w:trPr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Среднемесячная температура воздуха, °С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  <w:tc>
          <w:tcPr>
            <w:tcW w:w="426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-16,4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-17,3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-3,7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-4,3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-11,5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Объем отпуска тепловой энергии в тепловые сети, Гкал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  <w:tc>
          <w:tcPr>
            <w:tcW w:w="426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16579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14883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12848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12518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6321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2265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11324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13381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  <w:t xml:space="preserve">4242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113288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Расчет отпуска тепловой энергии </w:t>
      </w:r>
      <w:r>
        <w:t xml:space="preserve">котельной № 3 (Мелькомбинат) в тепловые сети </w:t>
      </w:r>
      <w:r>
        <w:rPr>
          <w:shd w:val="clear" w:color="auto" w:fill="ffffff"/>
        </w:rPr>
        <w:t xml:space="preserve">в течение отчетного (базового) 202</w:t>
      </w:r>
      <w:r>
        <w:rPr>
          <w:shd w:val="clear" w:color="auto" w:fill="ffffff"/>
        </w:rPr>
        <w:t xml:space="preserve">4</w:t>
      </w:r>
      <w:r>
        <w:rPr>
          <w:shd w:val="clear" w:color="auto" w:fill="ffffff"/>
        </w:rPr>
        <w:t xml:space="preserve"> года при температурном графике 80/62°С представлен в Таблице 21.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right"/>
        <w:rPr>
          <w:shd w:val="clear" w:color="auto" w:fill="ffffff"/>
        </w:rPr>
      </w:pPr>
      <w:r>
        <w:rPr>
          <w:shd w:val="clear" w:color="auto" w:fill="ffffff"/>
        </w:rPr>
        <w:t xml:space="preserve">Таблица 21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center"/>
        <w:rPr>
          <w:shd w:val="clear" w:color="auto" w:fill="ffffff"/>
        </w:rPr>
      </w:pPr>
      <w:r>
        <w:rPr>
          <w:shd w:val="clear" w:color="auto" w:fill="ffffff"/>
        </w:rPr>
        <w:t xml:space="preserve">Расчет отпуска тепловой энергии </w:t>
      </w:r>
      <w:r>
        <w:t xml:space="preserve">котельной № 3 (Мелькомбинат) в тепловые сети муниципальной котельной</w:t>
      </w:r>
      <w:r>
        <w:rPr>
          <w:shd w:val="clear" w:color="auto" w:fill="ffffff"/>
        </w:rPr>
        <w:t xml:space="preserve"> в течение отчетного (базового) 202</w:t>
      </w:r>
      <w:r>
        <w:rPr>
          <w:shd w:val="clear" w:color="auto" w:fill="ffffff"/>
        </w:rPr>
        <w:t xml:space="preserve">4</w:t>
      </w:r>
      <w:r>
        <w:rPr>
          <w:shd w:val="clear" w:color="auto" w:fill="ffffff"/>
        </w:rPr>
        <w:t xml:space="preserve"> года при температурном графике 80/62 °С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tbl>
      <w:tblPr>
        <w:tblW w:w="9498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426"/>
        <w:gridCol w:w="425"/>
        <w:gridCol w:w="567"/>
        <w:gridCol w:w="567"/>
        <w:gridCol w:w="425"/>
        <w:gridCol w:w="567"/>
        <w:gridCol w:w="567"/>
        <w:gridCol w:w="709"/>
        <w:gridCol w:w="567"/>
        <w:gridCol w:w="567"/>
        <w:gridCol w:w="567"/>
        <w:gridCol w:w="567"/>
        <w:gridCol w:w="709"/>
      </w:tblGrid>
      <w:tr>
        <w:tblPrEx/>
        <w:trPr/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Наименование параметра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  <w:tc>
          <w:tcPr>
            <w:gridSpan w:val="13"/>
            <w:tcW w:w="723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Значение параметра в течение отчетного (базового) 202</w:t>
            </w:r>
            <w:r>
              <w:rPr>
                <w:sz w:val="22"/>
                <w:szCs w:val="22"/>
                <w:shd w:val="clear" w:color="auto" w:fill="ffffff"/>
              </w:rPr>
              <w:t xml:space="preserve">4</w:t>
            </w:r>
            <w:r>
              <w:rPr>
                <w:sz w:val="22"/>
                <w:szCs w:val="22"/>
                <w:shd w:val="clear" w:color="auto" w:fill="ffffff"/>
              </w:rPr>
              <w:t xml:space="preserve"> года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Месяц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  <w:tc>
          <w:tcPr>
            <w:tcW w:w="42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42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III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IV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42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V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VI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VII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VIII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IX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X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XI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XII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202</w:t>
            </w:r>
            <w:r>
              <w:rPr>
                <w:sz w:val="22"/>
                <w:szCs w:val="22"/>
                <w:shd w:val="clear" w:color="auto" w:fill="ffffff"/>
              </w:rPr>
              <w:t xml:space="preserve">4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cantSplit/>
          <w:trHeight w:val="720"/>
        </w:trPr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Среднемесячная температура воздуха, °С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  <w:tc>
          <w:tcPr>
            <w:tcW w:w="426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-16,4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-17,3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-3,7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-4,3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-11,5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Объем отпуска тепловой энергии в тепловые сети, Гкал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  <w:tc>
          <w:tcPr>
            <w:tcW w:w="426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1208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 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0 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0 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968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1279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7575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Расчет отпуска тепловой энергии </w:t>
      </w:r>
      <w:r>
        <w:t xml:space="preserve">котельной № 4 (Экспедиция 5) в тепловые сети </w:t>
      </w:r>
      <w:r>
        <w:rPr>
          <w:shd w:val="clear" w:color="auto" w:fill="ffffff"/>
        </w:rPr>
        <w:t xml:space="preserve">в течение отчетного (базового) 202</w:t>
      </w:r>
      <w:r>
        <w:rPr>
          <w:shd w:val="clear" w:color="auto" w:fill="ffffff"/>
        </w:rPr>
        <w:t xml:space="preserve">4</w:t>
      </w:r>
      <w:r>
        <w:rPr>
          <w:shd w:val="clear" w:color="auto" w:fill="ffffff"/>
        </w:rPr>
        <w:t xml:space="preserve"> года при температурном графике 75/50 °С представлен в Таблице 22.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right"/>
        <w:rPr>
          <w:shd w:val="clear" w:color="auto" w:fill="ffffff"/>
        </w:rPr>
      </w:pPr>
      <w:r>
        <w:rPr>
          <w:shd w:val="clear" w:color="auto" w:fill="ffffff"/>
        </w:rPr>
        <w:t xml:space="preserve">Таблица 22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center"/>
        <w:rPr>
          <w:shd w:val="clear" w:color="auto" w:fill="ffffff"/>
        </w:rPr>
      </w:pPr>
      <w:r>
        <w:rPr>
          <w:shd w:val="clear" w:color="auto" w:fill="ffffff"/>
        </w:rPr>
        <w:t xml:space="preserve">Расчет отпуска тепловой энергии </w:t>
      </w:r>
      <w:r>
        <w:t xml:space="preserve">котельной № 4 (Экспедиция 5) в тепловые сети </w:t>
      </w:r>
      <w:r>
        <w:rPr>
          <w:shd w:val="clear" w:color="auto" w:fill="ffffff"/>
        </w:rPr>
        <w:t xml:space="preserve">в течение отчетного (базового) 202</w:t>
      </w:r>
      <w:r>
        <w:rPr>
          <w:shd w:val="clear" w:color="auto" w:fill="ffffff"/>
        </w:rPr>
        <w:t xml:space="preserve">4</w:t>
      </w:r>
      <w:r>
        <w:rPr>
          <w:shd w:val="clear" w:color="auto" w:fill="ffffff"/>
        </w:rPr>
        <w:t xml:space="preserve"> года при температурном графике 75/50 °С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tbl>
      <w:tblPr>
        <w:tblW w:w="9498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426"/>
        <w:gridCol w:w="425"/>
        <w:gridCol w:w="567"/>
        <w:gridCol w:w="567"/>
        <w:gridCol w:w="425"/>
        <w:gridCol w:w="567"/>
        <w:gridCol w:w="567"/>
        <w:gridCol w:w="709"/>
        <w:gridCol w:w="567"/>
        <w:gridCol w:w="567"/>
        <w:gridCol w:w="567"/>
        <w:gridCol w:w="567"/>
        <w:gridCol w:w="709"/>
      </w:tblGrid>
      <w:tr>
        <w:tblPrEx/>
        <w:trPr/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Наименование параметра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  <w:tc>
          <w:tcPr>
            <w:gridSpan w:val="13"/>
            <w:tcW w:w="723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Значение параметра в течение отчетного (базового) 202</w:t>
            </w:r>
            <w:r>
              <w:rPr>
                <w:sz w:val="22"/>
                <w:szCs w:val="22"/>
                <w:shd w:val="clear" w:color="auto" w:fill="ffffff"/>
              </w:rPr>
              <w:t xml:space="preserve">4</w:t>
            </w:r>
            <w:r>
              <w:rPr>
                <w:sz w:val="22"/>
                <w:szCs w:val="22"/>
                <w:shd w:val="clear" w:color="auto" w:fill="ffffff"/>
              </w:rPr>
              <w:t xml:space="preserve"> года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Месяц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  <w:tc>
          <w:tcPr>
            <w:tcW w:w="42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I 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42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III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IV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42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V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VI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VII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VIII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IX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X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XI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XII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202</w:t>
            </w:r>
            <w:r>
              <w:rPr>
                <w:sz w:val="22"/>
                <w:szCs w:val="22"/>
                <w:shd w:val="clear" w:color="auto" w:fill="ffffff"/>
              </w:rPr>
              <w:t xml:space="preserve">4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cantSplit/>
          <w:trHeight w:val="700"/>
        </w:trPr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Среднемесячная температура воздуха, °С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  <w:tc>
          <w:tcPr>
            <w:tcW w:w="426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-16,4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-17,3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-3,7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-4,3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-11,5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Объем отпуска тепловой энергии в тепловые сети, Гкал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  <w:tc>
          <w:tcPr>
            <w:tcW w:w="426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657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601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0 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 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 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590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4747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ind w:firstLine="709"/>
        <w:jc w:val="both"/>
      </w:pP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  <w:r/>
    </w:p>
    <w:p>
      <w:pPr>
        <w:ind w:firstLine="709"/>
        <w:jc w:val="both"/>
        <w:rPr>
          <w:highlight w:val="none"/>
          <w:shd w:val="clear" w:color="auto" w:fill="ffffff"/>
        </w:rPr>
      </w:pPr>
      <w:r>
        <w:rPr>
          <w:shd w:val="clear" w:color="auto" w:fill="ffffff"/>
        </w:rPr>
        <w:t xml:space="preserve">Расчет отпуска тепловой энергии </w:t>
      </w:r>
      <w:r>
        <w:t xml:space="preserve">котельной № 5 (Совхоз) в тепловые сети </w:t>
      </w:r>
      <w:r>
        <w:rPr>
          <w:shd w:val="clear" w:color="auto" w:fill="ffffff"/>
        </w:rPr>
        <w:t xml:space="preserve">в течение отчетного (базового) 202</w:t>
      </w:r>
      <w:r>
        <w:rPr>
          <w:shd w:val="clear" w:color="auto" w:fill="ffffff"/>
        </w:rPr>
        <w:t xml:space="preserve">4</w:t>
      </w:r>
      <w:r>
        <w:rPr>
          <w:shd w:val="clear" w:color="auto" w:fill="ffffff"/>
        </w:rPr>
        <w:t xml:space="preserve"> года при температурном графике 70/50 °С представлен в Таблице 23.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jc w:val="right"/>
        <w:rPr>
          <w:shd w:val="clear" w:color="auto" w:fill="ffffff"/>
        </w:rPr>
      </w:pPr>
      <w:r>
        <w:rPr>
          <w:shd w:val="clear" w:color="auto" w:fill="ffffff"/>
        </w:rPr>
        <w:t xml:space="preserve">Таблица 23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center"/>
        <w:rPr>
          <w:shd w:val="clear" w:color="auto" w:fill="ffffff"/>
        </w:rPr>
      </w:pPr>
      <w:r>
        <w:rPr>
          <w:shd w:val="clear" w:color="auto" w:fill="ffffff"/>
        </w:rPr>
        <w:t xml:space="preserve">Расчет отпуска тепловой энергии </w:t>
      </w:r>
      <w:r>
        <w:t xml:space="preserve">котельной № 5 (Совхоз) в тепловые сети </w:t>
      </w:r>
      <w:r>
        <w:rPr>
          <w:shd w:val="clear" w:color="auto" w:fill="ffffff"/>
        </w:rPr>
        <w:t xml:space="preserve">в течение отчетного (базового) 202</w:t>
      </w:r>
      <w:r>
        <w:rPr>
          <w:shd w:val="clear" w:color="auto" w:fill="ffffff"/>
        </w:rPr>
        <w:t xml:space="preserve">4</w:t>
      </w:r>
      <w:r>
        <w:rPr>
          <w:shd w:val="clear" w:color="auto" w:fill="ffffff"/>
        </w:rPr>
        <w:t xml:space="preserve"> года при температурном графике 70/50 °С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tbl>
      <w:tblPr>
        <w:tblW w:w="9498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426"/>
        <w:gridCol w:w="425"/>
        <w:gridCol w:w="567"/>
        <w:gridCol w:w="567"/>
        <w:gridCol w:w="425"/>
        <w:gridCol w:w="567"/>
        <w:gridCol w:w="567"/>
        <w:gridCol w:w="709"/>
        <w:gridCol w:w="567"/>
        <w:gridCol w:w="567"/>
        <w:gridCol w:w="567"/>
        <w:gridCol w:w="567"/>
        <w:gridCol w:w="709"/>
      </w:tblGrid>
      <w:tr>
        <w:tblPrEx/>
        <w:trPr/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Наименование </w:t>
            </w:r>
            <w:r>
              <w:rPr>
                <w:sz w:val="22"/>
                <w:szCs w:val="22"/>
                <w:shd w:val="clear" w:color="auto" w:fill="ffffff"/>
              </w:rPr>
              <w:t xml:space="preserve">параметра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  <w:tc>
          <w:tcPr>
            <w:gridSpan w:val="13"/>
            <w:tcW w:w="723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Значение параметра в течение отчетного (базового) 202</w:t>
            </w:r>
            <w:r>
              <w:rPr>
                <w:sz w:val="22"/>
                <w:szCs w:val="22"/>
                <w:shd w:val="clear" w:color="auto" w:fill="ffffff"/>
              </w:rPr>
              <w:t xml:space="preserve">4</w:t>
            </w:r>
            <w:r>
              <w:rPr>
                <w:sz w:val="22"/>
                <w:szCs w:val="22"/>
                <w:shd w:val="clear" w:color="auto" w:fill="ffffff"/>
              </w:rPr>
              <w:t xml:space="preserve"> года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Месяц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  <w:tc>
          <w:tcPr>
            <w:tcW w:w="42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I 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42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III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IV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42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V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VI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VII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VIII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IX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X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XI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sz w:val="22"/>
                <w:szCs w:val="22"/>
                <w:shd w:val="clear" w:color="auto" w:fill="ffffff"/>
                <w:lang w:val="en-US"/>
              </w:rPr>
              <w:t xml:space="preserve">XII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202</w:t>
            </w:r>
            <w:r>
              <w:rPr>
                <w:sz w:val="22"/>
                <w:szCs w:val="22"/>
                <w:shd w:val="clear" w:color="auto" w:fill="ffffff"/>
              </w:rPr>
              <w:t xml:space="preserve">4</w:t>
            </w:r>
            <w:r>
              <w:rPr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cantSplit/>
          <w:trHeight w:val="686"/>
        </w:trPr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Среднемесячная температура воздуха, °С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  <w:tc>
          <w:tcPr>
            <w:tcW w:w="426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-16,4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-17,3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-3,7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-4,3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-11,5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Объем отпуска тепловой энергии в тепловые сети, Гкал</w:t>
            </w:r>
            <w:r>
              <w:rPr>
                <w:sz w:val="22"/>
                <w:szCs w:val="22"/>
                <w:shd w:val="clear" w:color="auto" w:fill="ffffff"/>
              </w:rPr>
            </w:r>
            <w:r>
              <w:rPr>
                <w:sz w:val="22"/>
                <w:szCs w:val="22"/>
                <w:shd w:val="clear" w:color="auto" w:fill="ffffff"/>
              </w:rPr>
            </w:r>
          </w:p>
        </w:tc>
        <w:tc>
          <w:tcPr>
            <w:tcW w:w="426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0 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0 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0 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1520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ind w:firstLine="709"/>
        <w:jc w:val="both"/>
        <w:keepLines/>
        <w:keepNext/>
        <w:widowControl w:val="off"/>
      </w:pPr>
      <w:r>
        <w:rPr>
          <w:bCs/>
          <w:highlight w:val="none"/>
        </w:rPr>
      </w:r>
      <w:r>
        <w:rPr>
          <w:bCs/>
          <w:highlight w:val="none"/>
        </w:rPr>
      </w:r>
      <w:r/>
    </w:p>
    <w:p>
      <w:pPr>
        <w:ind w:firstLine="709"/>
        <w:jc w:val="both"/>
        <w:keepLines/>
        <w:keepNext/>
        <w:widowControl w:val="off"/>
        <w:rPr>
          <w:highlight w:val="none"/>
        </w:rPr>
      </w:pPr>
      <w:r/>
      <w:bookmarkStart w:id="21" w:name="_Toc149054978"/>
      <w:r>
        <w:rPr>
          <w:bCs/>
        </w:rPr>
        <w:t xml:space="preserve">5.9. 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</w:t>
      </w:r>
      <w:bookmarkEnd w:id="21"/>
      <w:r>
        <w:rPr>
          <w:highlight w:val="none"/>
        </w:rPr>
      </w:r>
      <w:r>
        <w:rPr>
          <w:highlight w:val="none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="Calibri"/>
          <w:i/>
          <w:lang w:eastAsia="en-US"/>
        </w:rPr>
      </w:pPr>
      <w:r>
        <w:rPr>
          <w:rFonts w:eastAsia="Calibri"/>
          <w:lang w:eastAsia="en-US"/>
        </w:rPr>
        <w:t xml:space="preserve">Перечнем мероприятий по источникам тепловой энергии, приведенным в таблице 16, планируется </w:t>
      </w:r>
      <w:r>
        <w:rPr>
          <w:shd w:val="clear" w:color="auto" w:fill="ffffff"/>
        </w:rPr>
        <w:t xml:space="preserve">ввод в эксплуатацию новых мощностей, что позволит увеличить перспективную установленную тепловую мощность муниципальных </w:t>
      </w:r>
      <w:r>
        <w:rPr>
          <w:rFonts w:eastAsia="Calibri"/>
          <w:lang w:eastAsia="en-US"/>
        </w:rPr>
        <w:t xml:space="preserve">котельных Тайшетского городского поселения.</w:t>
      </w:r>
      <w:r>
        <w:rPr>
          <w:rFonts w:eastAsia="Calibri"/>
          <w:i/>
          <w:lang w:eastAsia="en-US"/>
        </w:rPr>
      </w:r>
      <w:r>
        <w:rPr>
          <w:rFonts w:eastAsia="Calibri"/>
          <w:i/>
          <w:lang w:eastAsia="en-US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bCs/>
        </w:rPr>
      </w:pPr>
      <w:r>
        <w:rPr>
          <w:bCs/>
        </w:rPr>
        <w:t xml:space="preserve">5.10. Предложения по вводу новых и реконструкции существующих источников тепловой энергии с использованием возобновляемых источников энергии, а также местных видов топлива</w:t>
      </w:r>
      <w:r>
        <w:rPr>
          <w:bCs/>
        </w:rPr>
      </w:r>
      <w:r>
        <w:rPr>
          <w:bCs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Ввод новых источников тепловой энергии и реконструкция существующих муниципальных </w:t>
      </w:r>
      <w:r>
        <w:rPr>
          <w:rFonts w:eastAsia="Calibri"/>
          <w:lang w:eastAsia="en-US"/>
        </w:rPr>
        <w:t xml:space="preserve">котельных Тайшетского городского поселения</w:t>
      </w:r>
      <w:r>
        <w:rPr>
          <w:shd w:val="clear" w:color="auto" w:fill="ffffff"/>
        </w:rPr>
        <w:t xml:space="preserve"> с использованием возобновляемых источников энергии и местных видов топлива на перспективу не прогнозируется.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contextualSpacing/>
        <w:jc w:val="center"/>
        <w:keepLines/>
        <w:keepNext/>
        <w:widowControl w:val="off"/>
        <w:rPr>
          <w:bCs/>
          <w:caps/>
          <w:szCs w:val="26"/>
        </w:rPr>
      </w:pPr>
      <w:r/>
      <w:bookmarkStart w:id="22" w:name="_Toc149054979"/>
      <w:r>
        <w:rPr>
          <w:bCs/>
          <w:caps/>
          <w:szCs w:val="26"/>
        </w:rPr>
        <w:t xml:space="preserve">РАЗДЕЛ 6. ПРЕДЛОЖЕНИЯ ПО СТРОИТЕЛЬСТВУ, РЕКОНСТРУКЦИИ И МОДЕРНИЗЦАИИ ТЕПЛОВЫХ СЕТЕЙ</w:t>
      </w:r>
      <w:bookmarkEnd w:id="22"/>
      <w:r>
        <w:rPr>
          <w:bCs/>
          <w:caps/>
          <w:szCs w:val="26"/>
        </w:rPr>
      </w:r>
      <w:r>
        <w:rPr>
          <w:bCs/>
          <w:caps/>
          <w:szCs w:val="26"/>
        </w:rPr>
      </w:r>
    </w:p>
    <w:p>
      <w:pPr>
        <w:ind w:firstLine="709"/>
        <w:jc w:val="both"/>
        <w:keepLines/>
        <w:keepNext/>
        <w:widowControl w:val="off"/>
        <w:rPr>
          <w:bCs/>
        </w:rPr>
      </w:pPr>
      <w:r/>
      <w:bookmarkStart w:id="23" w:name="_Toc149054980"/>
      <w:r>
        <w:rPr>
          <w:bCs/>
        </w:rPr>
        <w:t xml:space="preserve">6.1. Предложения по строительству, реконструкции и модернизации тепло</w:t>
      </w:r>
      <w:r>
        <w:rPr>
          <w:bCs/>
        </w:rPr>
        <w:t xml:space="preserve">вых сетей,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(использование существующих резервов)</w:t>
      </w:r>
      <w:bookmarkEnd w:id="23"/>
      <w:r>
        <w:rPr>
          <w:bCs/>
        </w:rPr>
      </w:r>
      <w:r>
        <w:rPr>
          <w:bCs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Реконстр</w:t>
      </w:r>
      <w:r>
        <w:rPr>
          <w:rFonts w:eastAsiaTheme="minorEastAsia"/>
        </w:rPr>
        <w:t xml:space="preserve">укция, модернизация, строительство тепловых сетей, обеспечивающих перераспределение тепловой нагрузки из зон с дефицитом тепловой мощности в зоны с избытком тепловой мощности, на территории Тайшетского городского поселения на перспективу не прогнозируется.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В связи с недостаточностью резервов мощности теплоисточников, прогнозируемые дефициты тепловой мощности необходимо покрывать за счет строительства новых и/или реконструкции существующих источников тепловой энергии.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В частности предлагается: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1. С целью обеспечения резервного теплоснабжения микрорайона Центральный в городе Тайшет, а также обеспечени</w:t>
      </w:r>
      <w:r>
        <w:rPr>
          <w:rFonts w:eastAsiaTheme="minorEastAsia"/>
        </w:rPr>
        <w:t xml:space="preserve">е технической возможности технологического присоединения вновь строящихся объектов ООО «РУСАЛ-Тайшет», строительство блочно-модульной котельной на твердом топливе теплопроизводительностью от 12 Гкал/ч до 20 Гкал/ч в селе Старый Акульшет Тайшетского района;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2. Строительство котельной мощностью 56 Гкал/ч взамен отработавшей нормативный срок котельной № 2 (ШПЗ);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3. С целью обеспечения возможности подключения перспективных нагрузок котельной № 1 строительство блока водогрейных котлов мощностью 50 Гкал/ч 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24" w:name="_Toc149054981"/>
      <w:r>
        <w:rPr>
          <w:bCs/>
          <w:shd w:val="clear" w:color="auto" w:fill="ffffff"/>
        </w:rPr>
        <w:t xml:space="preserve">6.2. Предложения по строительству, реконструкции и модернизации тепловых сетей для обеспечения перспективных приростов тепловой нагрузки в осваиваемых районах Тайшетского городского поселения под жилищную, комплексную или производственную застройку</w:t>
      </w:r>
      <w:bookmarkEnd w:id="24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rPr>
          <w:strike/>
        </w:rPr>
      </w:pPr>
      <w:r>
        <w:rPr>
          <w:shd w:val="clear" w:color="auto" w:fill="ffffff"/>
        </w:rPr>
        <w:t xml:space="preserve">Строительство, реконструкцию и модернизацию тепловых сетей, </w:t>
      </w:r>
      <w:r>
        <w:rPr>
          <w:rFonts w:eastAsia="Calibri"/>
          <w:lang w:eastAsia="en-US"/>
        </w:rPr>
        <w:t xml:space="preserve">для </w:t>
      </w:r>
      <w:r>
        <w:rPr>
          <w:rFonts w:eastAsia="Calibri"/>
          <w:lang w:eastAsia="en-US"/>
        </w:rPr>
        <w:t xml:space="preserve">обеспечения перспективных приростов тепловой нагрузки в осваиваемых районах Тайшетского городского поселения под жилищную, комплексную или производственную застройку, необходимо выполнять в соответствии с основными мероприятиями, приведенными в таблице 24.</w:t>
      </w:r>
      <w:r>
        <w:rPr>
          <w:strike/>
        </w:rPr>
      </w:r>
      <w:r>
        <w:rPr>
          <w:strike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25" w:name="_Toc149054982"/>
      <w:r>
        <w:rPr>
          <w:bCs/>
          <w:shd w:val="clear" w:color="auto" w:fill="ffffff"/>
        </w:rPr>
        <w:t xml:space="preserve">6.3. Предложени</w:t>
      </w:r>
      <w:r>
        <w:rPr>
          <w:bCs/>
          <w:shd w:val="clear" w:color="auto" w:fill="ffffff"/>
        </w:rPr>
        <w:t xml:space="preserve">я по строительству, реконструкции и модернизации тепловых сетей в целях обеспечения условий,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</w:t>
      </w:r>
      <w:bookmarkEnd w:id="25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567" w:leader="none"/>
          <w:tab w:val="left" w:pos="1276" w:leader="none"/>
          <w:tab w:val="right" w:pos="9923" w:leader="dot"/>
        </w:tabs>
      </w:pPr>
      <w:r>
        <w:rPr>
          <w:shd w:val="clear" w:color="auto" w:fill="ffffff"/>
        </w:rPr>
        <w:t xml:space="preserve">Строительство, реконструкция и модернизация тепловых сетей муниципальных </w:t>
      </w:r>
      <w:r>
        <w:rPr>
          <w:rFonts w:eastAsia="Calibri"/>
          <w:lang w:eastAsia="en-US"/>
        </w:rPr>
        <w:t xml:space="preserve">котельных Тайшетского городского поселения</w:t>
      </w:r>
      <w:r>
        <w:rPr>
          <w:shd w:val="clear" w:color="auto" w:fill="ffffff"/>
        </w:rPr>
        <w:t xml:space="preserve"> в целях обеспечения условий, при наличии которых существует возможность поставок тепловой энергии потребителям от различных источников тепловой энергии Тайшетского городского поселения при сохранении надежности теплоснабжения, </w:t>
      </w:r>
      <w:r>
        <w:rPr>
          <w:rFonts w:eastAsia="Calibri"/>
          <w:lang w:eastAsia="en-US"/>
        </w:rPr>
        <w:t xml:space="preserve">определены с учетом инвестиционной программой ОП «ТТС» АО </w:t>
      </w:r>
      <w:r>
        <w:t xml:space="preserve">«Байкалэнерго». Мероприятия представлены в Таблице 24.1.</w:t>
      </w:r>
      <w:r/>
    </w:p>
    <w:p>
      <w:pPr>
        <w:ind w:firstLine="720"/>
        <w:jc w:val="center"/>
        <w:spacing w:line="100" w:lineRule="atLeast"/>
        <w:widowControl w:val="off"/>
      </w:pPr>
      <w:r/>
      <w:r/>
    </w:p>
    <w:p>
      <w:pPr>
        <w:ind w:firstLine="720"/>
        <w:jc w:val="both"/>
        <w:spacing w:line="100" w:lineRule="atLeast"/>
        <w:widowControl w:val="off"/>
      </w:pPr>
      <w:r/>
      <w:r/>
    </w:p>
    <w:p>
      <w:pPr>
        <w:ind w:firstLine="720"/>
        <w:jc w:val="both"/>
        <w:spacing w:line="100" w:lineRule="atLeast"/>
        <w:widowControl w:val="off"/>
        <w:sectPr>
          <w:footnotePr/>
          <w:endnotePr/>
          <w:type w:val="nextPage"/>
          <w:pgSz w:w="11906" w:h="16838" w:orient="portrait"/>
          <w:pgMar w:top="1134" w:right="851" w:bottom="1134" w:left="1701" w:header="340" w:footer="0" w:gutter="0"/>
          <w:cols w:num="1" w:sep="0" w:space="708" w:equalWidth="1"/>
          <w:docGrid w:linePitch="360"/>
          <w:titlePg/>
        </w:sectPr>
      </w:pPr>
      <w:r/>
      <w:r/>
    </w:p>
    <w:p>
      <w:pPr>
        <w:jc w:val="right"/>
        <w:widowControl w:val="off"/>
        <w:rPr>
          <w:color w:val="auto"/>
        </w:rPr>
      </w:pPr>
      <w:r>
        <w:rPr>
          <w:color w:val="auto"/>
        </w:rPr>
        <w:t xml:space="preserve">Таблица 24</w:t>
      </w:r>
      <w:r>
        <w:rPr>
          <w:color w:val="auto"/>
        </w:rPr>
      </w:r>
      <w:r>
        <w:rPr>
          <w:color w:val="auto"/>
        </w:rPr>
      </w:r>
    </w:p>
    <w:p>
      <w:pPr>
        <w:jc w:val="center"/>
        <w:widowControl w:val="off"/>
        <w:rPr>
          <w:color w:val="auto"/>
        </w:rPr>
      </w:pPr>
      <w:r>
        <w:rPr>
          <w:rFonts w:eastAsia="Calibri"/>
          <w:color w:val="auto"/>
          <w:lang w:eastAsia="en-US"/>
        </w:rPr>
        <w:t xml:space="preserve">Основные мероприятия </w:t>
      </w:r>
      <w:r>
        <w:rPr>
          <w:color w:val="auto"/>
        </w:rPr>
        <w:t xml:space="preserve">для обеспечения перспективных приростов тепловой нагрузки</w:t>
      </w:r>
      <w:r>
        <w:rPr>
          <w:color w:val="auto"/>
        </w:rPr>
      </w:r>
      <w:r>
        <w:rPr>
          <w:color w:val="auto"/>
        </w:rPr>
      </w:r>
    </w:p>
    <w:tbl>
      <w:tblPr>
        <w:tblW w:w="1573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6173"/>
        <w:gridCol w:w="64"/>
        <w:gridCol w:w="812"/>
        <w:gridCol w:w="39"/>
        <w:gridCol w:w="992"/>
        <w:gridCol w:w="773"/>
        <w:gridCol w:w="15"/>
        <w:gridCol w:w="836"/>
        <w:gridCol w:w="15"/>
        <w:gridCol w:w="828"/>
        <w:gridCol w:w="22"/>
        <w:gridCol w:w="1055"/>
        <w:gridCol w:w="674"/>
        <w:gridCol w:w="34"/>
        <w:gridCol w:w="645"/>
        <w:gridCol w:w="64"/>
        <w:gridCol w:w="666"/>
        <w:gridCol w:w="43"/>
        <w:gridCol w:w="687"/>
        <w:gridCol w:w="22"/>
        <w:gridCol w:w="708"/>
      </w:tblGrid>
      <w:tr>
        <w:tblPrEx/>
        <w:trPr>
          <w:trHeight w:val="30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№ п/п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Наименование мероприятия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gridSpan w:val="19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93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Планируемая потребность в финансовых средствах, тыс.рублей без учета НДС</w:t>
            </w:r>
            <w:r>
              <w:rPr>
                <w:rFonts w:eastAsia="Calibri"/>
                <w:color w:val="auto"/>
                <w:lang w:eastAsia="en-US"/>
              </w:rPr>
              <w:t xml:space="preserve"> *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57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Cs/>
                <w:color w:val="ff0000"/>
                <w:sz w:val="22"/>
                <w:szCs w:val="22"/>
              </w:rPr>
            </w:pPr>
            <w:r>
              <w:rPr>
                <w:bCs/>
                <w:color w:val="ff0000"/>
                <w:sz w:val="22"/>
                <w:szCs w:val="22"/>
              </w:rPr>
            </w:r>
            <w:r>
              <w:rPr>
                <w:bCs/>
                <w:color w:val="ff0000"/>
                <w:sz w:val="22"/>
                <w:szCs w:val="22"/>
              </w:rPr>
            </w:r>
            <w:r>
              <w:rPr>
                <w:bCs/>
                <w:color w:val="ff0000"/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3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Cs/>
                <w:color w:val="ff0000"/>
                <w:sz w:val="22"/>
                <w:szCs w:val="22"/>
              </w:rPr>
            </w:pPr>
            <w:r>
              <w:rPr>
                <w:bCs/>
                <w:color w:val="ff0000"/>
                <w:sz w:val="22"/>
                <w:szCs w:val="22"/>
              </w:rPr>
            </w:r>
            <w:r>
              <w:rPr>
                <w:bCs/>
                <w:color w:val="ff0000"/>
                <w:sz w:val="22"/>
                <w:szCs w:val="22"/>
              </w:rPr>
            </w:r>
            <w:r>
              <w:rPr>
                <w:bCs/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Итого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81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Базовый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10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Первый 5-летний период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9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Последующие периоды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57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Cs/>
                <w:color w:val="ff0000"/>
                <w:sz w:val="22"/>
                <w:szCs w:val="22"/>
              </w:rPr>
            </w:pPr>
            <w:r>
              <w:rPr>
                <w:bCs/>
                <w:color w:val="ff0000"/>
                <w:sz w:val="22"/>
                <w:szCs w:val="22"/>
              </w:rPr>
            </w:r>
            <w:r>
              <w:rPr>
                <w:bCs/>
                <w:color w:val="ff0000"/>
                <w:sz w:val="22"/>
                <w:szCs w:val="22"/>
              </w:rPr>
            </w:r>
            <w:r>
              <w:rPr>
                <w:bCs/>
                <w:color w:val="ff0000"/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3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Cs/>
                <w:color w:val="ff0000"/>
                <w:sz w:val="22"/>
                <w:szCs w:val="22"/>
              </w:rPr>
            </w:pPr>
            <w:r>
              <w:rPr>
                <w:bCs/>
                <w:color w:val="ff0000"/>
                <w:sz w:val="22"/>
                <w:szCs w:val="22"/>
              </w:rPr>
            </w:r>
            <w:r>
              <w:rPr>
                <w:bCs/>
                <w:color w:val="ff0000"/>
                <w:sz w:val="22"/>
                <w:szCs w:val="22"/>
              </w:rPr>
            </w:r>
            <w:r>
              <w:rPr>
                <w:bCs/>
                <w:color w:val="ff0000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Cs/>
                <w:color w:val="ff0000"/>
                <w:sz w:val="22"/>
                <w:szCs w:val="22"/>
              </w:rPr>
            </w:pPr>
            <w:r>
              <w:rPr>
                <w:bCs/>
                <w:color w:val="ff0000"/>
                <w:sz w:val="22"/>
                <w:szCs w:val="22"/>
              </w:rPr>
            </w:r>
            <w:r>
              <w:rPr>
                <w:bCs/>
                <w:color w:val="ff0000"/>
                <w:sz w:val="22"/>
                <w:szCs w:val="22"/>
              </w:rPr>
            </w:r>
            <w:r>
              <w:rPr>
                <w:bCs/>
                <w:color w:val="ff0000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3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2023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2024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2025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2026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2027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74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2028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7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</w:t>
            </w:r>
            <w:r>
              <w:rPr>
                <w:bCs/>
                <w:color w:val="auto"/>
                <w:sz w:val="22"/>
                <w:szCs w:val="22"/>
              </w:rPr>
              <w:t xml:space="preserve">9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</w:t>
            </w:r>
            <w:r>
              <w:rPr>
                <w:bCs/>
                <w:color w:val="auto"/>
                <w:sz w:val="22"/>
                <w:szCs w:val="22"/>
              </w:rPr>
              <w:t xml:space="preserve">30</w:t>
            </w:r>
            <w:r>
              <w:rPr>
                <w:bCs/>
                <w:color w:val="auto"/>
                <w:sz w:val="22"/>
                <w:szCs w:val="22"/>
              </w:rPr>
              <w:t xml:space="preserve">-203</w:t>
            </w:r>
            <w:r>
              <w:rPr>
                <w:bCs/>
                <w:color w:val="auto"/>
                <w:sz w:val="22"/>
                <w:szCs w:val="22"/>
              </w:rPr>
              <w:t xml:space="preserve">4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203</w:t>
            </w:r>
            <w:r>
              <w:rPr>
                <w:bCs/>
                <w:color w:val="auto"/>
                <w:sz w:val="22"/>
                <w:szCs w:val="22"/>
              </w:rPr>
              <w:t xml:space="preserve">5</w:t>
            </w:r>
            <w:r>
              <w:rPr>
                <w:bCs/>
                <w:color w:val="auto"/>
                <w:sz w:val="22"/>
                <w:szCs w:val="22"/>
              </w:rPr>
              <w:t xml:space="preserve">-203</w:t>
            </w:r>
            <w:r>
              <w:rPr>
                <w:bCs/>
                <w:color w:val="auto"/>
                <w:sz w:val="22"/>
                <w:szCs w:val="22"/>
              </w:rPr>
              <w:t xml:space="preserve">9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</w:t>
            </w:r>
            <w:r>
              <w:rPr>
                <w:bCs/>
                <w:color w:val="auto"/>
                <w:sz w:val="22"/>
                <w:szCs w:val="22"/>
              </w:rPr>
              <w:t xml:space="preserve">40</w:t>
            </w:r>
            <w:r>
              <w:rPr>
                <w:bCs/>
                <w:color w:val="auto"/>
                <w:sz w:val="22"/>
                <w:szCs w:val="22"/>
              </w:rPr>
              <w:t xml:space="preserve">-2041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2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734" w:type="dxa"/>
            <w:vAlign w:val="center"/>
            <w:textDirection w:val="lrTb"/>
            <w:noWrap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 Строительство тепловых сетей для обеспечения перспективных приростов тепловой нагрузки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776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17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от ТК -12 ТС-7 (инв. №Ю01132096) котельной № 1 до ТК12-</w:t>
            </w:r>
            <w:r>
              <w:rPr>
                <w:color w:val="auto"/>
                <w:sz w:val="22"/>
                <w:szCs w:val="22"/>
              </w:rPr>
              <w:t xml:space="preserve"> до границы земельного участка 38:29:011003:29 (микрорайон Центральный).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1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37457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37457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5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563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17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от ТК-12-2 (проект.) до границы земельного участка 38:29:011003:180 (общеобразовательная школа на 1275 мест). Характеристики уточняются проектом.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1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20503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19009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1394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5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772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173" w:type="dxa"/>
            <w:vAlign w:val="center"/>
            <w:textDirection w:val="lrTb"/>
            <w:noWrap w:val="false"/>
          </w:tcPr>
          <w:p>
            <w:pPr>
              <w:ind w:left="-108" w:right="-172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котельной № 1 от ТК-9-7 до границы земельного участка 38:29:011001:85 (ОВД) диаметром 133 мм, ориентировочной протяженностью 22 метра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1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5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855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17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 до границы земельного участка 38:29:000000:46 (Детский сад РУСАЛ))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1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16468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1468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5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529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17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до границы земельного участка жилого микрорайона «РУСАЛквартАЛ» ООО «РУСАЛ Тайшетский алюминиевый завод» в селе Старый –Акульшет.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1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136325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5256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5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131069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767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173" w:type="dxa"/>
            <w:vAlign w:val="center"/>
            <w:textDirection w:val="lrTb"/>
            <w:noWrap w:val="false"/>
          </w:tcPr>
          <w:p>
            <w:pPr>
              <w:ind w:left="-108" w:right="-172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 до границы земельного участка 38:29:011001:2076 (Каток РУСАЛ))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1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12389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2389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5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8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17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Итого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15" w:type="dxa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223689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19009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88" w:type="dxa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1394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37557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9113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55" w:type="dxa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156069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8" w:type="dxa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8" w:type="dxa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</w:tbl>
    <w:p>
      <w:pPr>
        <w:jc w:val="both"/>
        <w:spacing w:after="200" w:line="276" w:lineRule="auto"/>
        <w:rPr>
          <w:rFonts w:eastAsia="Calibri"/>
          <w:color w:val="auto"/>
        </w:rPr>
      </w:pPr>
      <w:r>
        <w:rPr>
          <w:rFonts w:eastAsia="Calibri"/>
          <w:color w:val="auto"/>
          <w:lang w:eastAsia="en-US"/>
        </w:rPr>
        <w:t xml:space="preserve">Примечания: * - сумма финансирования требует уточнения.</w:t>
      </w:r>
      <w:r>
        <w:rPr>
          <w:rFonts w:eastAsia="Calibri"/>
          <w:color w:val="auto"/>
        </w:rPr>
      </w:r>
      <w:r>
        <w:rPr>
          <w:rFonts w:eastAsia="Calibri"/>
          <w:color w:val="auto"/>
        </w:rPr>
      </w:r>
    </w:p>
    <w:p>
      <w:pPr>
        <w:ind w:firstLine="709"/>
        <w:jc w:val="right"/>
        <w:widowControl w:val="off"/>
        <w:tabs>
          <w:tab w:val="left" w:pos="567" w:leader="none"/>
          <w:tab w:val="left" w:pos="1276" w:leader="none"/>
          <w:tab w:val="right" w:pos="9923" w:leader="dot"/>
        </w:tabs>
        <w:rPr>
          <w:color w:val="auto"/>
        </w:rPr>
      </w:pPr>
      <w:r>
        <w:rPr>
          <w:color w:val="auto"/>
          <w:highlight w:val="none"/>
        </w:rPr>
      </w:r>
      <w:r>
        <w:rPr>
          <w:color w:val="auto"/>
        </w:rPr>
      </w:r>
      <w:r>
        <w:rPr>
          <w:color w:val="auto"/>
        </w:rPr>
      </w:r>
    </w:p>
    <w:p>
      <w:pPr>
        <w:ind w:firstLine="709"/>
        <w:jc w:val="right"/>
        <w:widowControl w:val="off"/>
        <w:tabs>
          <w:tab w:val="left" w:pos="567" w:leader="none"/>
          <w:tab w:val="left" w:pos="1276" w:leader="none"/>
          <w:tab w:val="right" w:pos="9923" w:leader="dot"/>
        </w:tabs>
        <w:rPr>
          <w:color w:val="auto"/>
          <w:highlight w:val="none"/>
        </w:rPr>
      </w:pPr>
      <w:r>
        <w:rPr>
          <w:color w:val="auto"/>
          <w:highlight w:val="none"/>
        </w:rPr>
      </w:r>
      <w:r>
        <w:rPr>
          <w:color w:val="auto"/>
          <w:highlight w:val="none"/>
        </w:rPr>
      </w:r>
      <w:r>
        <w:rPr>
          <w:color w:val="auto"/>
          <w:highlight w:val="none"/>
        </w:rPr>
      </w:r>
    </w:p>
    <w:p>
      <w:pPr>
        <w:ind w:firstLine="709"/>
        <w:jc w:val="right"/>
        <w:widowControl w:val="off"/>
        <w:tabs>
          <w:tab w:val="left" w:pos="567" w:leader="none"/>
          <w:tab w:val="left" w:pos="1276" w:leader="none"/>
          <w:tab w:val="right" w:pos="9923" w:leader="dot"/>
        </w:tabs>
        <w:rPr>
          <w:color w:val="auto"/>
          <w:highlight w:val="none"/>
        </w:rPr>
      </w:pPr>
      <w:r>
        <w:rPr>
          <w:color w:val="auto"/>
          <w:highlight w:val="none"/>
        </w:rPr>
      </w:r>
      <w:r>
        <w:rPr>
          <w:color w:val="auto"/>
          <w:highlight w:val="none"/>
        </w:rPr>
      </w:r>
      <w:r>
        <w:rPr>
          <w:color w:val="auto"/>
          <w:highlight w:val="none"/>
        </w:rPr>
      </w:r>
    </w:p>
    <w:p>
      <w:pPr>
        <w:ind w:firstLine="709"/>
        <w:jc w:val="right"/>
        <w:widowControl w:val="off"/>
        <w:tabs>
          <w:tab w:val="left" w:pos="567" w:leader="none"/>
          <w:tab w:val="left" w:pos="1276" w:leader="none"/>
          <w:tab w:val="right" w:pos="9923" w:leader="dot"/>
        </w:tabs>
        <w:rPr>
          <w:color w:val="auto"/>
          <w:highlight w:val="none"/>
        </w:rPr>
      </w:pPr>
      <w:r>
        <w:rPr>
          <w:color w:val="auto"/>
          <w:highlight w:val="none"/>
        </w:rPr>
      </w:r>
      <w:r>
        <w:rPr>
          <w:color w:val="auto"/>
          <w:highlight w:val="none"/>
        </w:rPr>
      </w:r>
      <w:r>
        <w:rPr>
          <w:color w:val="auto"/>
          <w:highlight w:val="none"/>
        </w:rPr>
      </w:r>
    </w:p>
    <w:p>
      <w:pPr>
        <w:ind w:firstLine="709"/>
        <w:jc w:val="right"/>
        <w:widowControl w:val="off"/>
        <w:tabs>
          <w:tab w:val="left" w:pos="567" w:leader="none"/>
          <w:tab w:val="left" w:pos="1276" w:leader="none"/>
          <w:tab w:val="right" w:pos="9923" w:leader="dot"/>
        </w:tabs>
        <w:rPr>
          <w:color w:val="auto"/>
          <w:highlight w:val="none"/>
        </w:rPr>
      </w:pPr>
      <w:r>
        <w:rPr>
          <w:color w:val="auto"/>
          <w:highlight w:val="none"/>
        </w:rPr>
      </w:r>
      <w:r>
        <w:rPr>
          <w:color w:val="auto"/>
          <w:highlight w:val="none"/>
        </w:rPr>
      </w:r>
      <w:r>
        <w:rPr>
          <w:color w:val="auto"/>
          <w:highlight w:val="none"/>
        </w:rPr>
      </w:r>
    </w:p>
    <w:p>
      <w:pPr>
        <w:ind w:firstLine="709"/>
        <w:jc w:val="right"/>
        <w:widowControl w:val="off"/>
        <w:tabs>
          <w:tab w:val="left" w:pos="567" w:leader="none"/>
          <w:tab w:val="left" w:pos="1276" w:leader="none"/>
          <w:tab w:val="right" w:pos="9923" w:leader="dot"/>
        </w:tabs>
        <w:rPr>
          <w:color w:val="auto"/>
          <w:highlight w:val="none"/>
        </w:rPr>
      </w:pPr>
      <w:r>
        <w:rPr>
          <w:color w:val="auto"/>
          <w:highlight w:val="none"/>
        </w:rPr>
      </w:r>
      <w:r>
        <w:rPr>
          <w:color w:val="auto"/>
          <w:highlight w:val="none"/>
        </w:rPr>
      </w:r>
      <w:r>
        <w:rPr>
          <w:color w:val="auto"/>
          <w:highlight w:val="none"/>
        </w:rPr>
      </w:r>
    </w:p>
    <w:p>
      <w:pPr>
        <w:ind w:firstLine="709"/>
        <w:jc w:val="right"/>
        <w:widowControl w:val="off"/>
        <w:tabs>
          <w:tab w:val="left" w:pos="567" w:leader="none"/>
          <w:tab w:val="left" w:pos="1276" w:leader="none"/>
          <w:tab w:val="right" w:pos="9923" w:leader="dot"/>
        </w:tabs>
        <w:rPr>
          <w:color w:val="auto"/>
          <w:highlight w:val="none"/>
        </w:rPr>
      </w:pPr>
      <w:r>
        <w:rPr>
          <w:color w:val="auto"/>
          <w:highlight w:val="none"/>
        </w:rPr>
      </w:r>
      <w:r>
        <w:rPr>
          <w:color w:val="auto"/>
          <w:highlight w:val="none"/>
        </w:rPr>
      </w:r>
      <w:r>
        <w:rPr>
          <w:color w:val="auto"/>
          <w:highlight w:val="none"/>
        </w:rPr>
      </w:r>
    </w:p>
    <w:p>
      <w:pPr>
        <w:ind w:firstLine="709"/>
        <w:jc w:val="right"/>
        <w:widowControl w:val="off"/>
        <w:tabs>
          <w:tab w:val="left" w:pos="567" w:leader="none"/>
          <w:tab w:val="left" w:pos="1276" w:leader="none"/>
          <w:tab w:val="right" w:pos="9923" w:leader="dot"/>
        </w:tabs>
        <w:rPr>
          <w:color w:val="auto"/>
          <w:highlight w:val="none"/>
        </w:rPr>
      </w:pPr>
      <w:r>
        <w:rPr>
          <w:color w:val="auto"/>
          <w:highlight w:val="none"/>
        </w:rPr>
      </w:r>
      <w:r>
        <w:rPr>
          <w:color w:val="auto"/>
          <w:highlight w:val="none"/>
        </w:rPr>
      </w:r>
      <w:r>
        <w:rPr>
          <w:color w:val="auto"/>
          <w:highlight w:val="none"/>
        </w:rPr>
      </w:r>
    </w:p>
    <w:p>
      <w:pPr>
        <w:ind w:firstLine="709"/>
        <w:jc w:val="right"/>
        <w:widowControl w:val="off"/>
        <w:tabs>
          <w:tab w:val="left" w:pos="567" w:leader="none"/>
          <w:tab w:val="left" w:pos="1276" w:leader="none"/>
          <w:tab w:val="right" w:pos="9923" w:leader="dot"/>
        </w:tabs>
        <w:rPr>
          <w:color w:val="auto"/>
          <w:highlight w:val="none"/>
        </w:rPr>
      </w:pPr>
      <w:r>
        <w:rPr>
          <w:color w:val="auto"/>
        </w:rPr>
      </w:r>
      <w:r>
        <w:rPr>
          <w:color w:val="auto"/>
        </w:rPr>
        <w:t xml:space="preserve"> </w:t>
      </w:r>
      <w:r>
        <w:rPr>
          <w:color w:val="auto"/>
        </w:rPr>
        <w:t xml:space="preserve">Таблица 24.1</w:t>
      </w:r>
      <w:r>
        <w:rPr>
          <w:color w:val="auto"/>
          <w:highlight w:val="none"/>
        </w:rPr>
      </w:r>
      <w:r>
        <w:rPr>
          <w:color w:val="auto"/>
          <w:highlight w:val="none"/>
        </w:rPr>
      </w:r>
    </w:p>
    <w:p>
      <w:pPr>
        <w:ind w:firstLine="709"/>
        <w:jc w:val="center"/>
        <w:widowControl w:val="off"/>
        <w:tabs>
          <w:tab w:val="left" w:pos="567" w:leader="none"/>
          <w:tab w:val="left" w:pos="1276" w:leader="none"/>
          <w:tab w:val="right" w:pos="9923" w:leader="dot"/>
        </w:tabs>
        <w:rPr>
          <w:color w:val="auto"/>
        </w:rPr>
      </w:pPr>
      <w:r>
        <w:rPr>
          <w:rFonts w:eastAsia="Calibri"/>
          <w:color w:val="auto"/>
          <w:lang w:eastAsia="en-US"/>
        </w:rPr>
        <w:t xml:space="preserve">Основные мероприятия </w:t>
      </w:r>
      <w:r>
        <w:rPr>
          <w:color w:val="auto"/>
          <w:shd w:val="clear" w:color="auto" w:fill="ffffff"/>
        </w:rPr>
        <w:t xml:space="preserve">при наличии которых существует возможность поставок тепловой энергии потребителям от различных источников тепловой энергии Тайшетского городского поселения при сохранении надежности теплоснабжения</w:t>
      </w:r>
      <w:r>
        <w:rPr>
          <w:color w:val="auto"/>
        </w:rPr>
      </w:r>
      <w:r>
        <w:rPr>
          <w:color w:val="auto"/>
        </w:rPr>
      </w:r>
    </w:p>
    <w:tbl>
      <w:tblPr>
        <w:tblW w:w="5114" w:type="pct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Look w:val="04A0" w:firstRow="1" w:lastRow="0" w:firstColumn="1" w:lastColumn="0" w:noHBand="0" w:noVBand="1"/>
      </w:tblPr>
      <w:tblGrid>
        <w:gridCol w:w="532"/>
        <w:gridCol w:w="5813"/>
        <w:gridCol w:w="999"/>
        <w:gridCol w:w="851"/>
        <w:gridCol w:w="857"/>
        <w:gridCol w:w="842"/>
        <w:gridCol w:w="6"/>
        <w:gridCol w:w="703"/>
        <w:gridCol w:w="9"/>
        <w:gridCol w:w="700"/>
        <w:gridCol w:w="9"/>
        <w:gridCol w:w="838"/>
        <w:gridCol w:w="9"/>
        <w:gridCol w:w="864"/>
        <w:gridCol w:w="974"/>
        <w:gridCol w:w="19"/>
        <w:gridCol w:w="832"/>
        <w:gridCol w:w="19"/>
        <w:gridCol w:w="826"/>
      </w:tblGrid>
      <w:tr>
        <w:tblPrEx/>
        <w:trPr>
          <w:trHeight w:val="20"/>
          <w:tblHeader/>
        </w:trPr>
        <w:tc>
          <w:tcPr>
            <w:shd w:val="clear" w:color="auto" w:fill="auto"/>
            <w:tcW w:w="169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№ п/п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1851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Наименование мероприятия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17"/>
            <w:shd w:val="clear" w:color="auto" w:fill="auto"/>
            <w:tcW w:w="2980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Планируемая потребность в финансовых средствах, тысяч рублей без учета НДС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53"/>
          <w:tblHeader/>
        </w:trPr>
        <w:tc>
          <w:tcPr>
            <w:tcW w:w="169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tcW w:w="1851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W w:w="318" w:type="pct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Итого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544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Базовый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1267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Первый 5-летний период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gridSpan w:val="5"/>
            <w:tcW w:w="85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Последующие периоды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  <w:tblHeader/>
        </w:trPr>
        <w:tc>
          <w:tcPr>
            <w:tcW w:w="169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tcW w:w="1851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W w:w="318" w:type="pct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W w:w="271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2023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7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2024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8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2025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tcW w:w="226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2026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tcW w:w="226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2027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tcW w:w="27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2028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tcW w:w="278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</w:t>
            </w:r>
            <w:r>
              <w:rPr>
                <w:bCs/>
                <w:color w:val="auto"/>
                <w:sz w:val="22"/>
                <w:szCs w:val="22"/>
              </w:rPr>
              <w:t xml:space="preserve">9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tcW w:w="31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</w:t>
            </w:r>
            <w:r>
              <w:rPr>
                <w:bCs/>
                <w:color w:val="auto"/>
                <w:sz w:val="22"/>
                <w:szCs w:val="22"/>
              </w:rPr>
              <w:t xml:space="preserve">30</w:t>
            </w:r>
            <w:r>
              <w:rPr>
                <w:bCs/>
                <w:color w:val="auto"/>
                <w:sz w:val="22"/>
                <w:szCs w:val="22"/>
              </w:rPr>
              <w:t xml:space="preserve">-203</w:t>
            </w:r>
            <w:r>
              <w:rPr>
                <w:bCs/>
                <w:color w:val="auto"/>
                <w:sz w:val="22"/>
                <w:szCs w:val="22"/>
              </w:rPr>
              <w:t xml:space="preserve">4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tcW w:w="271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203</w:t>
            </w:r>
            <w:r>
              <w:rPr>
                <w:bCs/>
                <w:color w:val="auto"/>
                <w:sz w:val="22"/>
                <w:szCs w:val="22"/>
              </w:rPr>
              <w:t xml:space="preserve">5</w:t>
            </w:r>
            <w:r>
              <w:rPr>
                <w:bCs/>
                <w:color w:val="auto"/>
                <w:sz w:val="22"/>
                <w:szCs w:val="22"/>
              </w:rPr>
              <w:t xml:space="preserve">-203</w:t>
            </w:r>
            <w:r>
              <w:rPr>
                <w:bCs/>
                <w:color w:val="auto"/>
                <w:sz w:val="22"/>
                <w:szCs w:val="22"/>
              </w:rPr>
              <w:t xml:space="preserve">9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tcW w:w="269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</w:t>
            </w:r>
            <w:r>
              <w:rPr>
                <w:bCs/>
                <w:color w:val="auto"/>
                <w:sz w:val="22"/>
                <w:szCs w:val="22"/>
              </w:rPr>
              <w:t xml:space="preserve">40</w:t>
            </w:r>
            <w:r>
              <w:rPr>
                <w:bCs/>
                <w:color w:val="auto"/>
                <w:sz w:val="22"/>
                <w:szCs w:val="22"/>
              </w:rPr>
              <w:t xml:space="preserve">-2041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169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1851" w:type="pct"/>
            <w:vAlign w:val="center"/>
            <w:textDirection w:val="lrTb"/>
            <w:noWrap w:val="false"/>
          </w:tcPr>
          <w:p>
            <w:pPr>
              <w:ind w:left="-107" w:right="-108"/>
              <w:rPr>
                <w:rFonts w:eastAsia="Calibri"/>
                <w:color w:val="auto"/>
                <w:sz w:val="22"/>
                <w:szCs w:val="22"/>
              </w:rPr>
            </w:pPr>
            <w:r>
              <w:rPr>
                <w:rFonts w:eastAsia="Calibri"/>
                <w:color w:val="auto"/>
                <w:sz w:val="22"/>
                <w:szCs w:val="22"/>
                <w:lang w:eastAsia="en-US"/>
              </w:rPr>
              <w:t xml:space="preserve">Участок тепловой сети от ТК-9 до ТК-9-7, организация перемычки от ТК-9-7 до ТС-12 (инвентарный № Ю0</w:t>
            </w:r>
            <w:r>
              <w:rPr>
                <w:rFonts w:eastAsia="Calibri"/>
                <w:color w:val="auto"/>
                <w:sz w:val="22"/>
                <w:szCs w:val="22"/>
                <w:lang w:eastAsia="en-US"/>
              </w:rPr>
              <w:t xml:space="preserve">1132096). Реконструкция: строительство тепловой сети диаметром 300мм протяженностью 327 метров от ТК-9-7 ТС-7 котельной № 1 (инвентарный № Ю01132096) до тепловой сети ТС-12 котельной № 2 (инвентарный № Ю01132096) диаметром 300 мм протяженностью 327 метров.</w:t>
            </w:r>
            <w:r>
              <w:rPr>
                <w:rFonts w:eastAsia="Calibri"/>
                <w:color w:val="auto"/>
                <w:sz w:val="22"/>
                <w:szCs w:val="22"/>
              </w:rPr>
            </w:r>
            <w:r>
              <w:rPr>
                <w:rFonts w:eastAsia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18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206213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71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73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  <w:t xml:space="preserve">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270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  <w:t xml:space="preserve">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tcW w:w="227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  <w:t xml:space="preserve">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tcW w:w="22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</w:t>
            </w: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tcW w:w="270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</w:t>
            </w: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275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196725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tcW w:w="271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</w:t>
            </w: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263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</w:t>
            </w: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169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1851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Всего</w:t>
            </w:r>
            <w:r>
              <w:rPr>
                <w:rFonts w:eastAsia="Calibri"/>
                <w:color w:val="auto"/>
                <w:sz w:val="22"/>
                <w:szCs w:val="22"/>
              </w:rPr>
            </w:r>
            <w:r>
              <w:rPr>
                <w:rFonts w:eastAsia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18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206213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71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73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</w:t>
            </w: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8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  <w:t xml:space="preserve">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tcW w:w="22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</w:t>
            </w: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tcW w:w="22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</w:t>
            </w: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tcW w:w="270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  <w:t xml:space="preserve">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tcW w:w="278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0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196725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tcW w:w="271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gridSpan w:val="2"/>
            <w:tcW w:w="26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</w:tr>
    </w:tbl>
    <w:p>
      <w:pPr>
        <w:jc w:val="both"/>
        <w:rPr>
          <w:bCs/>
          <w:color w:val="auto"/>
          <w:shd w:val="clear" w:color="auto" w:fill="ffffff"/>
        </w:rPr>
      </w:pPr>
      <w:r>
        <w:rPr>
          <w:bCs/>
          <w:color w:val="auto"/>
          <w:shd w:val="clear" w:color="auto" w:fill="ffffff"/>
        </w:rPr>
      </w:r>
      <w:r>
        <w:rPr>
          <w:bCs/>
          <w:color w:val="auto"/>
          <w:shd w:val="clear" w:color="auto" w:fill="ffffff"/>
        </w:rPr>
      </w:r>
      <w:r>
        <w:rPr>
          <w:bCs/>
          <w:color w:val="auto"/>
          <w:shd w:val="clear" w:color="auto" w:fill="ffffff"/>
        </w:rPr>
      </w:r>
    </w:p>
    <w:p>
      <w:pPr>
        <w:jc w:val="both"/>
        <w:rPr>
          <w:bCs/>
          <w:color w:val="auto"/>
          <w:shd w:val="clear" w:color="auto" w:fill="ffffff"/>
        </w:rPr>
      </w:pPr>
      <w:r>
        <w:rPr>
          <w:bCs/>
          <w:color w:val="auto"/>
          <w:shd w:val="clear" w:color="auto" w:fill="ffffff"/>
        </w:rPr>
      </w:r>
      <w:r>
        <w:rPr>
          <w:bCs/>
          <w:color w:val="auto"/>
          <w:shd w:val="clear" w:color="auto" w:fill="ffffff"/>
        </w:rPr>
      </w:r>
      <w:r>
        <w:rPr>
          <w:bCs/>
          <w:color w:val="auto"/>
          <w:shd w:val="clear" w:color="auto" w:fill="ffffff"/>
        </w:rPr>
      </w:r>
    </w:p>
    <w:p>
      <w:pPr>
        <w:jc w:val="both"/>
        <w:rPr>
          <w:bCs/>
          <w:color w:val="auto"/>
          <w:shd w:val="clear" w:color="auto" w:fill="ffffff"/>
        </w:rPr>
      </w:pPr>
      <w:r>
        <w:rPr>
          <w:bCs/>
          <w:color w:val="auto"/>
          <w:shd w:val="clear" w:color="auto" w:fill="ffffff"/>
        </w:rPr>
      </w:r>
      <w:r>
        <w:rPr>
          <w:bCs/>
          <w:color w:val="auto"/>
          <w:shd w:val="clear" w:color="auto" w:fill="ffffff"/>
        </w:rPr>
      </w:r>
      <w:r>
        <w:rPr>
          <w:bCs/>
          <w:color w:val="auto"/>
          <w:shd w:val="clear" w:color="auto" w:fill="ffffff"/>
        </w:rPr>
      </w:r>
    </w:p>
    <w:p>
      <w:pPr>
        <w:jc w:val="both"/>
        <w:rPr>
          <w:bCs/>
          <w:shd w:val="clear" w:color="auto" w:fill="ffffff"/>
        </w:rPr>
      </w:pPr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jc w:val="both"/>
        <w:rPr>
          <w:bCs/>
          <w:shd w:val="clear" w:color="auto" w:fill="ffffff"/>
        </w:rPr>
      </w:pPr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jc w:val="both"/>
        <w:rPr>
          <w:bCs/>
          <w:shd w:val="clear" w:color="auto" w:fill="ffffff"/>
        </w:rPr>
      </w:pPr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spacing w:after="200" w:line="276" w:lineRule="auto"/>
        <w:rPr>
          <w:bCs/>
          <w:shd w:val="clear" w:color="auto" w:fill="ffffff"/>
        </w:rPr>
      </w:pPr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jc w:val="center"/>
        <w:keepLines/>
        <w:keepNext/>
        <w:spacing w:before="120" w:after="120"/>
        <w:widowControl w:val="off"/>
        <w:rPr>
          <w:bCs/>
          <w:shd w:val="clear" w:color="auto" w:fill="ffffff"/>
        </w:rPr>
        <w:sectPr>
          <w:footnotePr/>
          <w:endnotePr/>
          <w:type w:val="nextPage"/>
          <w:pgSz w:w="16838" w:h="11906" w:orient="landscape"/>
          <w:pgMar w:top="709" w:right="851" w:bottom="851" w:left="851" w:header="340" w:footer="0" w:gutter="0"/>
          <w:cols w:num="1" w:sep="0" w:space="708" w:equalWidth="1"/>
          <w:docGrid w:linePitch="360"/>
          <w:titlePg/>
        </w:sectPr>
        <w:outlineLvl w:val="2"/>
      </w:pPr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26" w:name="_Toc149054983"/>
      <w:r>
        <w:rPr>
          <w:bCs/>
          <w:shd w:val="clear" w:color="auto" w:fill="ffffff"/>
        </w:rPr>
        <w:t xml:space="preserve">6.4. Предложения по строительству, реконструкции и модернизации тепловых сетей для повышения эффективности функционирования системы теплоснабжения, в том числе за счет перевода котельных в пиковый режим работы или ликвидации котельных</w:t>
      </w:r>
      <w:bookmarkEnd w:id="26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widowControl w:val="off"/>
        <w:rPr>
          <w:shd w:val="clear" w:color="auto" w:fill="ffffff"/>
        </w:rPr>
      </w:pPr>
      <w:r>
        <w:rPr>
          <w:shd w:val="clear" w:color="auto" w:fill="ffffff"/>
        </w:rPr>
        <w:t xml:space="preserve">В соответствии с Федеральным законом о</w:t>
      </w:r>
      <w:r>
        <w:rPr>
          <w:shd w:val="clear" w:color="auto" w:fill="ffffff"/>
        </w:rPr>
        <w:t xml:space="preserve">т 27 июля 2010 года № 190-ФЗ «О теплоснабжении», пиковый режим работы источника тепловой энергии - режим работы источника тепловой энергии с переменной мощностью для обеспечения изменяющегося уровня потребления тепловой энергии, теплоносителя потребителям.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widowControl w:val="off"/>
        <w:rPr>
          <w:shd w:val="clear" w:color="auto" w:fill="ffffff"/>
        </w:rPr>
      </w:pPr>
      <w:r>
        <w:rPr>
          <w:shd w:val="clear" w:color="auto" w:fill="ffffff"/>
        </w:rPr>
        <w:t xml:space="preserve">Перевод муниципальных </w:t>
      </w:r>
      <w:r>
        <w:rPr>
          <w:rFonts w:eastAsia="Calibri"/>
          <w:lang w:eastAsia="en-US"/>
        </w:rPr>
        <w:t xml:space="preserve">котельных Тайшетского городского поселения</w:t>
      </w:r>
      <w:r>
        <w:rPr>
          <w:shd w:val="clear" w:color="auto" w:fill="ffffff"/>
        </w:rPr>
        <w:t xml:space="preserve"> в пиковый режим </w:t>
      </w:r>
      <w:r>
        <w:rPr>
          <w:shd w:val="clear" w:color="auto" w:fill="ffffff"/>
        </w:rPr>
        <w:t xml:space="preserve">работы не прогнозируется.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widowControl w:val="off"/>
        <w:rPr>
          <w:spacing w:val="1"/>
          <w:shd w:val="clear" w:color="auto" w:fill="ffffff"/>
        </w:rPr>
      </w:pPr>
      <w:r>
        <w:rPr>
          <w:spacing w:val="-1"/>
          <w:shd w:val="clear" w:color="auto" w:fill="ffffff"/>
          <w:lang w:eastAsia="en-US"/>
        </w:rPr>
        <w:t xml:space="preserve">Перевод электрокотельной ДТВ ОАО «РЖД»</w:t>
      </w:r>
      <w:r>
        <w:rPr>
          <w:spacing w:val="-1"/>
          <w:shd w:val="clear" w:color="auto" w:fill="ffffff"/>
          <w:lang w:eastAsia="en-US"/>
        </w:rPr>
        <w:t xml:space="preserve"> в пиковый режим работы при передаче нагрузок на котельную №2 (ШПЗ) не требует строительства и реконструкции тепловых сетей для повышения эффективности функционирования системы теплоснабжения, так как электрокотельная находится в зоне потребления нагрузок.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На территории Тайшетского городского поселения избыточные источники тепловой энергии, источники тепловой энергии, выработавшие нормативный срок службы, по состоянию на отчетный (базовый) 202</w:t>
      </w:r>
      <w:r>
        <w:rPr>
          <w:shd w:val="clear" w:color="auto" w:fill="ffffff"/>
        </w:rPr>
        <w:t xml:space="preserve">4</w:t>
      </w:r>
      <w:r>
        <w:rPr>
          <w:shd w:val="clear" w:color="auto" w:fill="ffffff"/>
        </w:rPr>
        <w:t xml:space="preserve"> год отсутствуют.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Ликвидация существующих муниципальных </w:t>
      </w:r>
      <w:r>
        <w:rPr>
          <w:rFonts w:eastAsia="Calibri"/>
          <w:lang w:eastAsia="en-US"/>
        </w:rPr>
        <w:t xml:space="preserve">котельных Тайшетского городского поселения</w:t>
      </w:r>
      <w:r>
        <w:rPr>
          <w:shd w:val="clear" w:color="auto" w:fill="ffffff"/>
        </w:rPr>
        <w:t xml:space="preserve"> на перспективу не прогнозируется.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27" w:name="_Toc149054984"/>
      <w:r>
        <w:rPr>
          <w:bCs/>
          <w:shd w:val="clear" w:color="auto" w:fill="ffffff"/>
        </w:rPr>
        <w:t xml:space="preserve">6.5. Предложения по строительству, реконструкции и модернизации тепловых сетей для обеспечения нормативной надежности теплоснабжения потребителей</w:t>
      </w:r>
      <w:bookmarkEnd w:id="27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Уровень надёжности поставляемых товаров и оказываемых услуг регулируемой организацией определяется исходя</w:t>
      </w:r>
      <w:r>
        <w:rPr>
          <w:shd w:val="clear" w:color="auto" w:fill="ffffff"/>
        </w:rPr>
        <w:t xml:space="preserve"> из числа возникающих в результате нарушений, аварий, инцидентов на объектах данной регулируемой организации: перерывов, прекращений, ограничений в подаче тепловой энергии в точках присоединения теплопотребляющих установок и тепловых сетей потребителя това</w:t>
      </w:r>
      <w:r>
        <w:rPr>
          <w:shd w:val="clear" w:color="auto" w:fill="ffffff"/>
        </w:rPr>
        <w:t xml:space="preserve">ров и услуг к коллекторам или тепловым сетям указанной регулируемой организации, сопровождаемых зафиксированным приборами учета теплоносителя или тепловой энергии прекращением подачи теплоносителя или подачи тепловой энергии на теплопотребляющие установки.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778" w:leader="none"/>
        </w:tabs>
        <w:rPr>
          <w:spacing w:val="-1"/>
          <w:shd w:val="clear" w:color="auto" w:fill="ffffff"/>
          <w:lang w:eastAsia="en-US"/>
        </w:rPr>
      </w:pPr>
      <w:r>
        <w:rPr>
          <w:shd w:val="clear" w:color="auto" w:fill="ffffff"/>
        </w:rPr>
        <w:t xml:space="preserve">Мероприятия, в целях повышения эффективности и уровня надежности функционирования системы теплоснабжения, представлены </w:t>
      </w:r>
      <w:r>
        <w:t xml:space="preserve">в Таблице 24.2.</w:t>
      </w:r>
      <w:r>
        <w:rPr>
          <w:spacing w:val="-1"/>
          <w:shd w:val="clear" w:color="auto" w:fill="ffffff"/>
          <w:lang w:eastAsia="en-US"/>
        </w:rPr>
      </w:r>
      <w:r>
        <w:rPr>
          <w:spacing w:val="-1"/>
          <w:shd w:val="clear" w:color="auto" w:fill="ffffff"/>
          <w:lang w:eastAsia="en-US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В соответствии со </w:t>
      </w:r>
      <w:r>
        <w:t xml:space="preserve">СП 124.13330.2012 «Тепловые сети. Актуализированная редакция СНиП 41-02-2003», </w:t>
      </w:r>
      <w:r>
        <w:rPr>
          <w:shd w:val="clear" w:color="auto" w:fill="ffffff"/>
        </w:rPr>
        <w:t xml:space="preserve">потр</w:t>
      </w:r>
      <w:r>
        <w:rPr>
          <w:shd w:val="clear" w:color="auto" w:fill="ffffff"/>
        </w:rPr>
        <w:t xml:space="preserve">ебители тепловой энергии Тайшетского городского поселения относятся ко второй категории потребителей, при которой допускается снижение температуры в отапливаемых помещениях на период ликвидации аварии на источниках тепловой энергии или тепловых сетях до 12</w:t>
      </w:r>
      <w:r>
        <w:rPr>
          <w:rFonts w:eastAsia="Calibri"/>
          <w:lang w:eastAsia="en-US"/>
        </w:rPr>
        <w:t xml:space="preserve"> </w:t>
      </w:r>
      <w:r>
        <w:rPr>
          <w:shd w:val="clear" w:color="auto" w:fill="ffffff"/>
        </w:rPr>
        <w:t xml:space="preserve">°С продолжительностью не более 54 часов.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Диаметры существующих теплопроводов, проложенных на территории Тайшетского городского поселения в целях обеспечения резервной подачи теплов</w:t>
      </w:r>
      <w:r>
        <w:rPr>
          <w:shd w:val="clear" w:color="auto" w:fill="ffffff"/>
        </w:rPr>
        <w:t xml:space="preserve">ой энергии потребителям при отказах, достаточны. Строительство новых тепловых сетей на территории муниципального образования в целях обеспечения нормативной надежности и безопасности теплоснабжения потребителей муниципального образования не прогнозируется.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right"/>
        <w:spacing w:after="120"/>
        <w:widowControl w:val="off"/>
        <w:tabs>
          <w:tab w:val="left" w:pos="567" w:leader="none"/>
          <w:tab w:val="left" w:pos="1276" w:leader="none"/>
          <w:tab w:val="right" w:pos="9923" w:leader="dot"/>
        </w:tabs>
        <w:sectPr>
          <w:footnotePr/>
          <w:endnotePr/>
          <w:type w:val="nextPage"/>
          <w:pgSz w:w="11906" w:h="16838" w:orient="portrait"/>
          <w:pgMar w:top="1134" w:right="851" w:bottom="1134" w:left="1701" w:header="340" w:footer="0" w:gutter="0"/>
          <w:cols w:num="1" w:sep="0" w:space="708" w:equalWidth="1"/>
          <w:docGrid w:linePitch="360"/>
          <w:titlePg/>
        </w:sectPr>
      </w:pPr>
      <w:r/>
      <w:r/>
    </w:p>
    <w:p>
      <w:pPr>
        <w:ind w:firstLine="709"/>
        <w:jc w:val="right"/>
        <w:widowControl w:val="off"/>
        <w:tabs>
          <w:tab w:val="left" w:pos="567" w:leader="none"/>
          <w:tab w:val="left" w:pos="1276" w:leader="none"/>
          <w:tab w:val="right" w:pos="9923" w:leader="dot"/>
        </w:tabs>
        <w:rPr>
          <w:color w:val="auto"/>
        </w:rPr>
      </w:pPr>
      <w:r>
        <w:rPr>
          <w:color w:val="auto"/>
        </w:rPr>
        <w:t xml:space="preserve">Таблица 24.2</w:t>
      </w:r>
      <w:r>
        <w:rPr>
          <w:color w:val="auto"/>
        </w:rPr>
      </w:r>
      <w:r>
        <w:rPr>
          <w:color w:val="auto"/>
        </w:rPr>
      </w:r>
    </w:p>
    <w:p>
      <w:pPr>
        <w:ind w:firstLine="709"/>
        <w:jc w:val="center"/>
        <w:widowControl w:val="off"/>
        <w:tabs>
          <w:tab w:val="left" w:pos="567" w:leader="none"/>
          <w:tab w:val="left" w:pos="1276" w:leader="none"/>
          <w:tab w:val="right" w:pos="9923" w:leader="dot"/>
        </w:tabs>
        <w:rPr>
          <w:color w:val="auto"/>
        </w:rPr>
      </w:pPr>
      <w:r>
        <w:rPr>
          <w:rFonts w:eastAsia="Calibri"/>
          <w:color w:val="auto"/>
          <w:lang w:eastAsia="en-US"/>
        </w:rPr>
        <w:t xml:space="preserve">Основные мероприятия на перспективу </w:t>
      </w:r>
      <w:r>
        <w:rPr>
          <w:color w:val="auto"/>
          <w:shd w:val="clear" w:color="auto" w:fill="ffffff"/>
        </w:rPr>
        <w:t xml:space="preserve">по строительству, реконструкции и модернизации тепловых сетей для обеспечения нормативной надежности теплоснабжения потребителей</w:t>
      </w:r>
      <w:r>
        <w:rPr>
          <w:color w:val="auto"/>
        </w:rPr>
      </w:r>
      <w:r>
        <w:rPr>
          <w:color w:val="auto"/>
        </w:rPr>
      </w:r>
    </w:p>
    <w:tbl>
      <w:tblPr>
        <w:tblW w:w="5160" w:type="pct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Look w:val="04A0" w:firstRow="1" w:lastRow="0" w:firstColumn="1" w:lastColumn="0" w:noHBand="0" w:noVBand="1"/>
      </w:tblPr>
      <w:tblGrid>
        <w:gridCol w:w="577"/>
        <w:gridCol w:w="4781"/>
        <w:gridCol w:w="989"/>
        <w:gridCol w:w="849"/>
        <w:gridCol w:w="852"/>
        <w:gridCol w:w="843"/>
        <w:gridCol w:w="992"/>
        <w:gridCol w:w="906"/>
        <w:gridCol w:w="985"/>
        <w:gridCol w:w="998"/>
        <w:gridCol w:w="989"/>
        <w:gridCol w:w="1100"/>
        <w:gridCol w:w="982"/>
      </w:tblGrid>
      <w:tr>
        <w:tblPrEx/>
        <w:trPr>
          <w:trHeight w:val="20"/>
          <w:tblHeader/>
        </w:trPr>
        <w:tc>
          <w:tcPr>
            <w:shd w:val="clear" w:color="auto" w:fill="auto"/>
            <w:tcW w:w="182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№ п/п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1509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Наименование мероприятия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3309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Планируемая потребность в финансовых средствах, тысяч рублей без учета НДС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53"/>
          <w:tblHeader/>
        </w:trPr>
        <w:tc>
          <w:tcPr>
            <w:tcW w:w="182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09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W w:w="312" w:type="pct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Итого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537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Базовый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5"/>
            <w:shd w:val="clear" w:color="auto" w:fill="auto"/>
            <w:tcW w:w="1491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Первый 5-летний период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tcW w:w="969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Последующие периоды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  <w:tblHeader/>
        </w:trPr>
        <w:tc>
          <w:tcPr>
            <w:tcW w:w="182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09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W w:w="312" w:type="pct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W w:w="268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2023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9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2024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6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2025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tcW w:w="31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2026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tcW w:w="286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2027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2028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tcW w:w="315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2029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2030-2034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tcW w:w="347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2035-2039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tcW w:w="31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2040-2041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092"/>
        </w:trPr>
        <w:tc>
          <w:tcPr>
            <w:shd w:val="clear" w:color="auto" w:fill="auto"/>
            <w:tcW w:w="18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color w:val="auto"/>
                <w:sz w:val="22"/>
                <w:szCs w:val="22"/>
              </w:rPr>
            </w:pPr>
            <w:r>
              <w:rPr>
                <w:rFonts w:eastAsia="Calibri"/>
                <w:color w:val="auto"/>
                <w:sz w:val="22"/>
                <w:szCs w:val="22"/>
                <w:lang w:eastAsia="en-US"/>
              </w:rPr>
              <w:t xml:space="preserve">1</w:t>
            </w:r>
            <w:r>
              <w:rPr>
                <w:rFonts w:eastAsia="Calibri"/>
                <w:color w:val="auto"/>
                <w:sz w:val="22"/>
                <w:szCs w:val="22"/>
              </w:rPr>
            </w:r>
            <w:r>
              <w:rPr>
                <w:rFonts w:eastAsia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1509" w:type="pct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ТС-27 электрокотельной ДТВ ОАО «РЖД» от ТК-40  до жилого дом по улице Осипенко, 2  (инвентарный № Ю01132126) протяженностью 460 метров  с изменением диаметра согласно проектной документации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37747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8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9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3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28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5297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32450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5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47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0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799"/>
        </w:trPr>
        <w:tc>
          <w:tcPr>
            <w:shd w:val="clear" w:color="auto" w:fill="auto"/>
            <w:tcW w:w="18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color w:val="auto"/>
                <w:sz w:val="22"/>
                <w:szCs w:val="22"/>
              </w:rPr>
            </w:pPr>
            <w:r>
              <w:rPr>
                <w:rFonts w:eastAsia="Calibri"/>
                <w:color w:val="auto"/>
                <w:sz w:val="22"/>
                <w:szCs w:val="22"/>
                <w:lang w:eastAsia="en-US"/>
              </w:rPr>
              <w:t xml:space="preserve">2</w:t>
            </w:r>
            <w:r>
              <w:rPr>
                <w:rFonts w:eastAsia="Calibri"/>
                <w:color w:val="auto"/>
                <w:sz w:val="22"/>
                <w:szCs w:val="22"/>
              </w:rPr>
            </w:r>
            <w:r>
              <w:rPr>
                <w:rFonts w:eastAsia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1509" w:type="pct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ТС-6 котельной № 1 от вертикального компенсатора К-7 до К-10 по улице Индустриальной (инвентарный № Ю01132095) диаметром 700 мм протяженностью 291 метр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29557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8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16413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9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12082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3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28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5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47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0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18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color w:val="auto"/>
                <w:sz w:val="22"/>
                <w:szCs w:val="22"/>
              </w:rPr>
            </w:pPr>
            <w:r>
              <w:rPr>
                <w:rFonts w:eastAsia="Calibri"/>
                <w:color w:val="auto"/>
                <w:sz w:val="22"/>
                <w:szCs w:val="22"/>
                <w:lang w:eastAsia="en-US"/>
              </w:rPr>
              <w:t xml:space="preserve">3</w:t>
            </w:r>
            <w:r>
              <w:rPr>
                <w:rFonts w:eastAsia="Calibri"/>
                <w:color w:val="auto"/>
                <w:sz w:val="22"/>
                <w:szCs w:val="22"/>
              </w:rPr>
            </w:r>
            <w:r>
              <w:rPr>
                <w:rFonts w:eastAsia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1509" w:type="pct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ТС-6 котельной №1 от вертикального компенсатора К-12 до ТК-3 по улице Индустриальной (инвентарный № Ю01132095) диаметром 700 мм протяженностью 277 метров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24882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8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9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13152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10426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3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28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5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47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0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89"/>
        </w:trPr>
        <w:tc>
          <w:tcPr>
            <w:shd w:val="clear" w:color="auto" w:fill="auto"/>
            <w:tcW w:w="18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color w:val="auto"/>
                <w:sz w:val="22"/>
                <w:szCs w:val="22"/>
              </w:rPr>
            </w:pPr>
            <w:r>
              <w:rPr>
                <w:rFonts w:eastAsia="Calibri"/>
                <w:color w:val="auto"/>
                <w:sz w:val="22"/>
                <w:szCs w:val="22"/>
                <w:lang w:eastAsia="en-US"/>
              </w:rPr>
              <w:t xml:space="preserve">4</w:t>
            </w:r>
            <w:r>
              <w:rPr>
                <w:rFonts w:eastAsia="Calibri"/>
                <w:color w:val="auto"/>
                <w:sz w:val="22"/>
                <w:szCs w:val="22"/>
              </w:rPr>
            </w:r>
            <w:r>
              <w:rPr>
                <w:rFonts w:eastAsia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1509" w:type="pct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от ТК-5-15 до ТК-5-24 по ул. Зои Космодемьянской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41988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8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9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3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13854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28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26892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5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47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0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764"/>
        </w:trPr>
        <w:tc>
          <w:tcPr>
            <w:shd w:val="clear" w:color="auto" w:fill="auto"/>
            <w:tcW w:w="18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color w:val="auto"/>
                <w:sz w:val="22"/>
                <w:szCs w:val="22"/>
              </w:rPr>
            </w:pPr>
            <w:r>
              <w:rPr>
                <w:rFonts w:eastAsia="Calibri"/>
                <w:color w:val="auto"/>
                <w:sz w:val="22"/>
                <w:szCs w:val="22"/>
                <w:lang w:eastAsia="en-US"/>
              </w:rPr>
              <w:t xml:space="preserve">5</w:t>
            </w:r>
            <w:r>
              <w:rPr>
                <w:rFonts w:eastAsia="Calibri"/>
                <w:color w:val="auto"/>
                <w:sz w:val="22"/>
                <w:szCs w:val="22"/>
              </w:rPr>
            </w:r>
            <w:r>
              <w:rPr>
                <w:rFonts w:eastAsia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1509" w:type="pct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ТС-20 котельной № 2 от ТК-11-3 до жилого дома по улице Крупской, 92  (инвентарный № Ю01132119) диаметром 150 мм протяженностью 215 метров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23227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8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9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3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28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5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23227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47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0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3"/>
        </w:trPr>
        <w:tc>
          <w:tcPr>
            <w:shd w:val="clear" w:color="auto" w:fill="auto"/>
            <w:tcW w:w="18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color w:val="auto"/>
                <w:sz w:val="22"/>
                <w:szCs w:val="22"/>
              </w:rPr>
            </w:pPr>
            <w:r>
              <w:rPr>
                <w:rFonts w:eastAsia="Calibri"/>
                <w:color w:val="auto"/>
                <w:sz w:val="22"/>
                <w:szCs w:val="22"/>
                <w:lang w:eastAsia="en-US"/>
              </w:rPr>
              <w:t xml:space="preserve">6</w:t>
            </w:r>
            <w:r>
              <w:rPr>
                <w:rFonts w:eastAsia="Calibri"/>
                <w:color w:val="auto"/>
                <w:sz w:val="22"/>
                <w:szCs w:val="22"/>
              </w:rPr>
            </w:r>
            <w:r>
              <w:rPr>
                <w:rFonts w:eastAsia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1509" w:type="pct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тепловой сети по улице Транспортной от ТК-2 до ТК-3 от котельной №2 (инвентарный № Ю01132108) протяженностью 214 метров, с изменением </w:t>
            </w:r>
            <w:r>
              <w:rPr>
                <w:color w:val="auto"/>
                <w:sz w:val="22"/>
                <w:szCs w:val="22"/>
              </w:rPr>
              <w:t xml:space="preserve">диаметра с 400 мм до 500 мм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19356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8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19356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9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3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28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5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47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0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18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color w:val="auto"/>
                <w:sz w:val="22"/>
                <w:szCs w:val="22"/>
              </w:rPr>
            </w:pPr>
            <w:r>
              <w:rPr>
                <w:rFonts w:eastAsia="Calibri"/>
                <w:color w:val="auto"/>
                <w:sz w:val="22"/>
                <w:szCs w:val="22"/>
                <w:lang w:eastAsia="en-US"/>
              </w:rPr>
              <w:t xml:space="preserve">7</w:t>
            </w:r>
            <w:r>
              <w:rPr>
                <w:rFonts w:eastAsia="Calibri"/>
                <w:color w:val="auto"/>
                <w:sz w:val="22"/>
                <w:szCs w:val="22"/>
              </w:rPr>
            </w:r>
            <w:r>
              <w:rPr>
                <w:rFonts w:eastAsia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1509" w:type="pct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тепловой сети котельной № 2 от ТК3-4 до ТК3-12 по улице Терешковой (ТС-11, инвентарный № Ю01132111)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81272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8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9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4556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572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3" w:type="pct"/>
            <w:vAlign w:val="bottom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28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36144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5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47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0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18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color w:val="auto"/>
                <w:sz w:val="22"/>
                <w:szCs w:val="22"/>
              </w:rPr>
            </w:pPr>
            <w:r>
              <w:rPr>
                <w:rFonts w:eastAsia="Calibri"/>
                <w:color w:val="auto"/>
                <w:sz w:val="22"/>
                <w:szCs w:val="22"/>
                <w:lang w:eastAsia="en-US"/>
              </w:rPr>
              <w:t xml:space="preserve">8</w:t>
            </w:r>
            <w:r>
              <w:rPr>
                <w:rFonts w:eastAsia="Calibri"/>
                <w:color w:val="auto"/>
                <w:sz w:val="22"/>
                <w:szCs w:val="22"/>
              </w:rPr>
            </w:r>
            <w:r>
              <w:rPr>
                <w:rFonts w:eastAsia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1509" w:type="pct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ТС-12 от ТК-3-12 до ТК3-18 (инвентарный № Ю01132112) с увеличением диаметра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46540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8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9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3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28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6540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5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47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0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18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color w:val="auto"/>
                <w:sz w:val="22"/>
                <w:szCs w:val="22"/>
              </w:rPr>
            </w:pPr>
            <w:r>
              <w:rPr>
                <w:rFonts w:eastAsia="Calibri"/>
                <w:color w:val="auto"/>
                <w:sz w:val="22"/>
                <w:szCs w:val="22"/>
                <w:lang w:eastAsia="en-US"/>
              </w:rPr>
              <w:t xml:space="preserve">9</w:t>
            </w:r>
            <w:r>
              <w:rPr>
                <w:rFonts w:eastAsia="Calibri"/>
                <w:color w:val="auto"/>
                <w:sz w:val="22"/>
                <w:szCs w:val="22"/>
              </w:rPr>
            </w:r>
            <w:r>
              <w:rPr>
                <w:rFonts w:eastAsia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1509" w:type="pct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тепловой сети котельной № 1 по улице Полевой (частный сектор) диаметром 150 мм протяженностью 159 метров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25787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8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9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3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28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5787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5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47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0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18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color w:val="auto"/>
                <w:sz w:val="22"/>
                <w:szCs w:val="22"/>
              </w:rPr>
            </w:pPr>
            <w:r>
              <w:rPr>
                <w:rFonts w:eastAsia="Calibri"/>
                <w:color w:val="auto"/>
                <w:sz w:val="22"/>
                <w:szCs w:val="22"/>
                <w:lang w:eastAsia="en-US"/>
              </w:rPr>
              <w:t xml:space="preserve">10</w:t>
            </w:r>
            <w:r>
              <w:rPr>
                <w:rFonts w:eastAsia="Calibri"/>
                <w:color w:val="auto"/>
                <w:sz w:val="22"/>
                <w:szCs w:val="22"/>
              </w:rPr>
            </w:r>
            <w:r>
              <w:rPr>
                <w:rFonts w:eastAsia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1509" w:type="pct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от котельной № 4 до ТК-3 по улице Новой (инвентарный № Ю01132103) протяженностью 195 метров  с изменением диаметра согласно проектной документации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38140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8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9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3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28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5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4140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47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0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18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color w:val="auto"/>
                <w:sz w:val="22"/>
                <w:szCs w:val="22"/>
              </w:rPr>
            </w:pPr>
            <w:r>
              <w:rPr>
                <w:rFonts w:eastAsia="Calibri"/>
                <w:color w:val="auto"/>
                <w:sz w:val="22"/>
                <w:szCs w:val="22"/>
                <w:lang w:eastAsia="en-US"/>
              </w:rPr>
              <w:t xml:space="preserve">11</w:t>
            </w:r>
            <w:r>
              <w:rPr>
                <w:rFonts w:eastAsia="Calibri"/>
                <w:color w:val="auto"/>
                <w:sz w:val="22"/>
                <w:szCs w:val="22"/>
              </w:rPr>
            </w:r>
            <w:r>
              <w:rPr>
                <w:rFonts w:eastAsia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1509" w:type="pct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участков тепловой сети ТС-22 котельной № 2  от ТК-30 до ТК-33 (инвентарный № Ю01132121) диаметром 300 мм протяженностью 175 метров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61795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8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9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3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28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5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5795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56000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47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0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18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color w:val="auto"/>
                <w:sz w:val="22"/>
                <w:szCs w:val="22"/>
              </w:rPr>
            </w:pPr>
            <w:r>
              <w:rPr>
                <w:rFonts w:eastAsia="Calibri"/>
                <w:color w:val="auto"/>
                <w:sz w:val="22"/>
                <w:szCs w:val="22"/>
                <w:lang w:eastAsia="en-US"/>
              </w:rPr>
              <w:t xml:space="preserve">12</w:t>
            </w:r>
            <w:r>
              <w:rPr>
                <w:rFonts w:eastAsia="Calibri"/>
                <w:color w:val="auto"/>
                <w:sz w:val="22"/>
                <w:szCs w:val="22"/>
              </w:rPr>
            </w:r>
            <w:r>
              <w:rPr>
                <w:rFonts w:eastAsia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1509" w:type="pct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и техническое перевооружение тепловых сетей в объеме 5 %.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2549233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8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9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3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28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218742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5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299241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175984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47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927633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0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927633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18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color w:val="auto"/>
                <w:sz w:val="22"/>
                <w:szCs w:val="22"/>
              </w:rPr>
            </w:pPr>
            <w:r>
              <w:rPr>
                <w:rFonts w:eastAsia="Calibri"/>
                <w:color w:val="auto"/>
                <w:sz w:val="22"/>
                <w:szCs w:val="22"/>
                <w:lang w:eastAsia="en-US"/>
              </w:rPr>
              <w:t xml:space="preserve">13</w:t>
            </w:r>
            <w:r>
              <w:rPr>
                <w:rFonts w:eastAsia="Calibri"/>
                <w:color w:val="auto"/>
                <w:sz w:val="22"/>
                <w:szCs w:val="22"/>
              </w:rPr>
            </w:r>
            <w:r>
              <w:rPr>
                <w:rFonts w:eastAsia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1509" w:type="pct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от ТК6 до ТК9 котельной № 5 (Совхоз)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30284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8" w:type="pct"/>
            <w:vAlign w:val="bottom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9" w:type="pct"/>
            <w:vAlign w:val="bottom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3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286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3028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1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5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17256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47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0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18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1509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Итого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12" w:type="pct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3009808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8" w:type="pct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37183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9" w:type="pct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29912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66" w:type="pct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10998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3" w:type="pct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13854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286" w:type="pct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77148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1" w:type="pct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327732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5" w:type="pct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346432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2" w:type="pct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309211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47" w:type="pct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927633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10" w:type="pct"/>
            <w:vAlign w:val="bottom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927633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</w:tbl>
    <w:p>
      <w:pPr>
        <w:jc w:val="both"/>
        <w:rPr>
          <w:shd w:val="clear" w:color="auto" w:fill="ffffff"/>
        </w:rPr>
        <w:sectPr>
          <w:footnotePr/>
          <w:endnotePr/>
          <w:type w:val="nextPage"/>
          <w:pgSz w:w="16838" w:h="11906" w:orient="landscape"/>
          <w:pgMar w:top="1701" w:right="851" w:bottom="851" w:left="851" w:header="340" w:footer="0" w:gutter="0"/>
          <w:cols w:num="1" w:sep="0" w:space="708" w:equalWidth="1"/>
          <w:docGrid w:linePitch="360"/>
          <w:titlePg/>
        </w:sect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center"/>
        <w:rPr>
          <w:bCs/>
          <w:caps/>
          <w:szCs w:val="26"/>
        </w:rPr>
      </w:pPr>
      <w:r>
        <w:rPr>
          <w:bCs/>
          <w:caps/>
          <w:szCs w:val="26"/>
        </w:rPr>
        <w:t xml:space="preserve">РАЗДЕЛ 7. ПРЕДЛОЖЕНИЯ ПО ПЕРЕВОДУ ОТКРЫТЫХ СИСТЕМ ТЕПЛОСНАБЖЕНИЯ (ГОРЯЧЕГО ВОДОСНАБЖЕНИЯ) В ЗАКРЫТЫЕ СИСТЕМЫ ГОРЯЧЕГО ВОДОСНАБЖЕНИЯ</w:t>
      </w:r>
      <w:r>
        <w:rPr>
          <w:bCs/>
          <w:caps/>
          <w:szCs w:val="26"/>
        </w:rPr>
      </w:r>
      <w:r>
        <w:rPr>
          <w:bCs/>
          <w:caps/>
          <w:szCs w:val="26"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28" w:name="_Toc149054985"/>
      <w:r>
        <w:rPr>
          <w:bCs/>
        </w:rPr>
        <w:t xml:space="preserve">7.1. </w:t>
      </w:r>
      <w:r>
        <w:rPr>
          <w:bCs/>
          <w:shd w:val="clear" w:color="auto" w:fill="ffffff"/>
        </w:rPr>
        <w:t xml:space="preserve">Предложения по </w:t>
      </w:r>
      <w:r>
        <w:rPr>
          <w:bCs/>
          <w:shd w:val="clear" w:color="auto" w:fill="ffffff"/>
        </w:rPr>
        <w:t xml:space="preserve">переводу существующих открытых си</w:t>
      </w:r>
      <w:r>
        <w:rPr>
          <w:bCs/>
          <w:shd w:val="clear" w:color="auto" w:fill="ffffff"/>
        </w:rPr>
        <w:t xml:space="preserve">стем теплоснабжения (горячего водоснабжения) в закрытые системы горячего водоснабжения, для осуществления которого необходимо строительство индивидуальных и центральных тепловых пунктов при наличии у потребителей внутридомовых систем горячего водоснабжения</w:t>
      </w:r>
      <w:bookmarkEnd w:id="28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</w:pPr>
      <w:r>
        <w:rPr>
          <w:shd w:val="clear" w:color="auto" w:fill="ffffff"/>
        </w:rPr>
        <w:t xml:space="preserve">По состоянию на отчетный (базовый) 202</w:t>
      </w:r>
      <w:r>
        <w:rPr>
          <w:shd w:val="clear" w:color="auto" w:fill="ffffff"/>
        </w:rPr>
        <w:t xml:space="preserve">4</w:t>
      </w:r>
      <w:r>
        <w:rPr>
          <w:shd w:val="clear" w:color="auto" w:fill="ffffff"/>
        </w:rPr>
        <w:t xml:space="preserve"> год системы теплоснабжения муниципальных </w:t>
      </w:r>
      <w:r>
        <w:rPr>
          <w:rFonts w:eastAsia="Calibri"/>
          <w:lang w:eastAsia="en-US"/>
        </w:rPr>
        <w:t xml:space="preserve">котельных Тайшетского городского поселения</w:t>
      </w:r>
      <w:r>
        <w:rPr>
          <w:shd w:val="clear" w:color="auto" w:fill="ffffff"/>
        </w:rPr>
        <w:t xml:space="preserve"> </w:t>
      </w:r>
      <w:r>
        <w:rPr>
          <w:rFonts w:eastAsia="Calibri"/>
          <w:lang w:eastAsia="en-US"/>
        </w:rPr>
        <w:t xml:space="preserve">являются закрытыми системами теплоснабжения, </w:t>
      </w:r>
      <w:r>
        <w:t xml:space="preserve">кроме тепловых сетей от котельной №1 (ТКСИ) - система открытая.</w:t>
      </w:r>
      <w:r/>
    </w:p>
    <w:p>
      <w:pPr>
        <w:ind w:firstLine="709"/>
        <w:jc w:val="both"/>
      </w:pPr>
      <w:r>
        <w:t xml:space="preserve">Перечень потребителей, системы горячего водоснабжения которых присоединены к тепловым сетям по открытой схеме, приведен в Таблице 46 пункта 9.1. главы 9 Обосновывающих материалов.</w:t>
      </w:r>
      <w:r/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</w:t>
      </w:r>
      <w:r>
        <w:rPr>
          <w:rFonts w:eastAsiaTheme="minorHAnsi"/>
          <w:lang w:eastAsia="en-US"/>
        </w:rPr>
        <w:t xml:space="preserve">редложения для перевода открытой системы теплоснабжения (горячего водоснабжения) в закрытую систему горячего водоснабжения  в многоквартирных домках  могут быть предоставлены с учетом капитальных и операционных затрат в сфере водоснабжения и водоотведения.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настоящее время схема водоснабжения и водоотведения Тайшетского го</w:t>
      </w:r>
      <w:r>
        <w:rPr>
          <w:rFonts w:eastAsiaTheme="minorHAnsi"/>
          <w:lang w:eastAsia="en-US"/>
        </w:rPr>
        <w:t xml:space="preserve">родского поселения находится в стадии разработки. Таким образом, определить объем необходимых затрат для перевода потребителей с открытой системы теплоснабжения (горячего водоснабжения) в закрытую систему горячего водоснабжения не представляется возможным.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asciiTheme="minorHAnsi" w:hAnsiTheme="minorHAnsi" w:eastAsiaTheme="minorHAnsi" w:cstheme="minorBidi"/>
          <w:sz w:val="22"/>
          <w:szCs w:val="22"/>
          <w:lang w:eastAsia="en-US"/>
        </w:rPr>
      </w:pPr>
      <w:r>
        <w:rPr>
          <w:rFonts w:eastAsiaTheme="minorEastAsia"/>
        </w:rPr>
        <w:t xml:space="preserve">Учитывая то, что с 1 января 2022 года вступил в силу Федеральный закон Российской Федерации от 30 декабря 2021 года №438-ФЗ «О внесении изменений в Федеральный закон «О теплоснабжении», которым </w:t>
      </w:r>
      <w:r>
        <w:t xml:space="preserve">с 1 января 2022 года </w:t>
      </w:r>
      <w:r>
        <w:rPr>
          <w:rFonts w:eastAsiaTheme="minorHAnsi"/>
          <w:lang w:eastAsia="en-US"/>
        </w:rPr>
        <w:t xml:space="preserve">отменяется обязательное переоборудование открытых систем горячего водоснабжения в закрытые, </w:t>
      </w:r>
      <w:r>
        <w:rPr>
          <w:rFonts w:eastAsiaTheme="minorEastAsia"/>
        </w:rPr>
        <w:t xml:space="preserve">решения по возможному переходу на закрытую систему теплоснабжения (горячего водоснабжения) для потребителей города Тайшет подлежат разработке и оценке, возможно при выполнении следующих актуализаций схемы теплоснабжения.</w:t>
      </w:r>
      <w:r>
        <w:rPr>
          <w:rFonts w:asciiTheme="minorHAnsi" w:hAnsiTheme="minorHAnsi" w:eastAsiaTheme="minorHAnsi" w:cstheme="minorBidi"/>
          <w:sz w:val="22"/>
          <w:szCs w:val="22"/>
          <w:lang w:eastAsia="en-US"/>
        </w:rPr>
      </w:r>
      <w:r>
        <w:rPr>
          <w:rFonts w:asciiTheme="minorHAnsi" w:hAnsiTheme="minorHAnsi" w:eastAsiaTheme="minorHAnsi" w:cstheme="minorBidi"/>
          <w:sz w:val="22"/>
          <w:szCs w:val="22"/>
          <w:lang w:eastAsia="en-US"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29" w:name="_Toc149054986"/>
      <w:r>
        <w:rPr>
          <w:bCs/>
        </w:rPr>
        <w:t xml:space="preserve">7.2. Предложения по переводу существующих открытых систем теплоснабжения (горя</w:t>
      </w:r>
      <w:r>
        <w:rPr>
          <w:bCs/>
        </w:rPr>
        <w:t xml:space="preserve">чего водоснабжения) в закрытые системы горячего водоснабжения, для осуществления которого отсутствует необходимость строительства индивидуальных и центральных тепловых пунктов по причине отсутствия у потребителей внутридомовых систем горячего водоснабжения</w:t>
      </w:r>
      <w:bookmarkEnd w:id="29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Предложения по переводу существующих открытых систем теплоснабжения (горячего водоснабжения) в за</w:t>
      </w:r>
      <w:r>
        <w:rPr>
          <w:shd w:val="clear" w:color="auto" w:fill="ffffff"/>
        </w:rPr>
        <w:t xml:space="preserve">крытые системы горячего водоснабжения, для осуществления которого отсутствует необходимость строительства индивидуальных и (или) центральных тепловых пунктов по причине отсутствия у потребителей внутридомовых систем горячего водоснабжения не предусмотрены.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center"/>
        <w:tabs>
          <w:tab w:val="left" w:pos="567" w:leader="none"/>
          <w:tab w:val="right" w:pos="9923" w:leader="dot"/>
        </w:tabs>
      </w:pPr>
      <w:r/>
      <w:r/>
    </w:p>
    <w:p>
      <w:pPr>
        <w:jc w:val="center"/>
        <w:rPr>
          <w:bCs/>
          <w:caps/>
          <w:szCs w:val="26"/>
        </w:rPr>
      </w:pPr>
      <w:r>
        <w:rPr>
          <w:bCs/>
          <w:caps/>
          <w:szCs w:val="26"/>
        </w:rPr>
        <w:t xml:space="preserve">РАЗДЕЛ 8. ПЕРСПЕКТИВНЫЕ ТОПЛИВНЫЕ БАЛАНСЫ</w:t>
      </w:r>
      <w:r>
        <w:rPr>
          <w:bCs/>
          <w:caps/>
          <w:szCs w:val="26"/>
        </w:rPr>
      </w:r>
      <w:r>
        <w:rPr>
          <w:bCs/>
          <w:caps/>
          <w:szCs w:val="26"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30" w:name="_Toc149054987"/>
      <w:r>
        <w:rPr>
          <w:bCs/>
        </w:rPr>
        <w:t xml:space="preserve">8.1. </w:t>
      </w:r>
      <w:r>
        <w:rPr>
          <w:bCs/>
          <w:shd w:val="clear" w:color="auto" w:fill="ffffff"/>
        </w:rPr>
        <w:t xml:space="preserve">Перспективные топливные балансы для каждого источника тепловой энергии по видам основного, резервного и аварийного топлива на каждом этапе</w:t>
      </w:r>
      <w:bookmarkEnd w:id="30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hd w:val="clear" w:color="auto" w:fill="ffffff"/>
        </w:rPr>
      </w:pPr>
      <w:r>
        <w:rPr>
          <w:rFonts w:eastAsia="Calibri"/>
          <w:lang w:eastAsia="en-US"/>
        </w:rPr>
        <w:t xml:space="preserve">Муниципальные котельные Тайшетского городского поселения</w:t>
      </w:r>
      <w:r>
        <w:rPr>
          <w:shd w:val="clear" w:color="auto" w:fill="ffffff"/>
        </w:rPr>
        <w:t xml:space="preserve"> в процессе эксплуатации в качестве основного топлива используют уголь бурый марки Б </w:t>
      </w:r>
      <w:r>
        <w:rPr>
          <w:spacing w:val="1"/>
          <w:shd w:val="clear" w:color="auto" w:fill="ffffff"/>
        </w:rPr>
        <w:t xml:space="preserve">Канско-Ачинский, Ирбейского разреза</w:t>
      </w:r>
      <w:r>
        <w:rPr>
          <w:shd w:val="clear" w:color="auto" w:fill="ffffff"/>
        </w:rPr>
        <w:t xml:space="preserve">. Резервное и аварийное топливо отсутствует. 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spacing w:val="1"/>
          <w:shd w:val="clear" w:color="auto" w:fill="ffffff"/>
        </w:rPr>
      </w:pPr>
      <w:r>
        <w:rPr>
          <w:spacing w:val="1"/>
          <w:shd w:val="clear" w:color="auto" w:fill="ffffff"/>
        </w:rPr>
        <w:t xml:space="preserve">Поставка топлива на котельные производится по следующей</w:t>
      </w:r>
      <w:r>
        <w:rPr>
          <w:spacing w:val="1"/>
          <w:shd w:val="clear" w:color="auto" w:fill="ffffff"/>
        </w:rPr>
        <w:t xml:space="preserve"> схеме: топливо поступает на склады котельных №№1, 2, 3 согласно заявленному объему для обеспечения нормативных запасов топлива, железнодорожным транспортом. Доставка угля со складов котельных №№1, 2 на склады котельных №№4, 5 осуществляется автомобильным </w:t>
      </w:r>
      <w:r>
        <w:rPr>
          <w:spacing w:val="1"/>
          <w:shd w:val="clear" w:color="auto" w:fill="ffffff"/>
        </w:rPr>
        <w:t xml:space="preserve">транспортом.</w:t>
      </w:r>
      <w:r>
        <w:rPr>
          <w:spacing w:val="1"/>
          <w:shd w:val="clear" w:color="auto" w:fill="ffffff"/>
        </w:rPr>
      </w:r>
      <w:r>
        <w:rPr>
          <w:spacing w:val="1"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="Calibri"/>
          <w:lang w:eastAsia="en-US"/>
        </w:rPr>
      </w:pPr>
      <w:r>
        <w:rPr>
          <w:shd w:val="clear" w:color="auto" w:fill="ffffff"/>
        </w:rPr>
        <w:t xml:space="preserve">Системы топливоподачи и золошлакоудаления </w:t>
      </w:r>
      <w:r>
        <w:rPr>
          <w:rFonts w:eastAsia="Calibri"/>
          <w:lang w:eastAsia="en-US"/>
        </w:rPr>
        <w:t xml:space="preserve">котельной </w:t>
      </w:r>
      <w:r>
        <w:t xml:space="preserve">№1 (ТКСИ) и котельной № 2 (ШПЗ)</w:t>
      </w:r>
      <w:r>
        <w:rPr>
          <w:rFonts w:eastAsia="Calibri"/>
          <w:lang w:eastAsia="en-US"/>
        </w:rPr>
        <w:t xml:space="preserve"> механизированные.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widowControl w:val="off"/>
      </w:pPr>
      <w:r>
        <w:rPr>
          <w:shd w:val="clear" w:color="auto" w:fill="ffffff"/>
        </w:rPr>
        <w:t xml:space="preserve">Система топливоподачи и золошлакоудаления </w:t>
      </w:r>
      <w:r>
        <w:t xml:space="preserve">котельной №3 (Мелькомбинат) </w:t>
      </w:r>
      <w:r>
        <w:rPr>
          <w:rFonts w:eastAsia="Calibri"/>
          <w:lang w:eastAsia="en-US"/>
        </w:rPr>
        <w:t xml:space="preserve">частично механизированные.</w:t>
      </w:r>
      <w:r/>
    </w:p>
    <w:p>
      <w:pPr>
        <w:ind w:firstLine="709"/>
        <w:jc w:val="both"/>
        <w:widowControl w:val="off"/>
      </w:pPr>
      <w:r>
        <w:rPr>
          <w:shd w:val="clear" w:color="auto" w:fill="ffffff"/>
        </w:rPr>
        <w:t xml:space="preserve">Системы топливоподачи и золошлакоудаления </w:t>
      </w:r>
      <w:r>
        <w:t xml:space="preserve">котельной №4 (Экспедиция 5) и</w:t>
      </w:r>
      <w:r>
        <w:rPr>
          <w:rFonts w:eastAsia="Calibri"/>
          <w:lang w:eastAsia="en-US"/>
        </w:rPr>
        <w:t xml:space="preserve"> котельной № 5 (Совхоз) ручные.</w:t>
      </w:r>
      <w:r/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Перевод муниципальных </w:t>
      </w:r>
      <w:r>
        <w:rPr>
          <w:rFonts w:eastAsia="Calibri"/>
          <w:lang w:eastAsia="en-US"/>
        </w:rPr>
        <w:t xml:space="preserve">котельных Тайшетского городского поселения с</w:t>
      </w:r>
      <w:r>
        <w:rPr>
          <w:shd w:val="clear" w:color="auto" w:fill="ffffff"/>
        </w:rPr>
        <w:t xml:space="preserve"> бурого угля марки Б </w:t>
      </w:r>
      <w:r>
        <w:rPr>
          <w:spacing w:val="1"/>
          <w:shd w:val="clear" w:color="auto" w:fill="ffffff"/>
        </w:rPr>
        <w:t xml:space="preserve">Канско-Ачинский, Ирбейского разреза</w:t>
      </w:r>
      <w:r>
        <w:rPr>
          <w:shd w:val="clear" w:color="auto" w:fill="ffffff"/>
        </w:rPr>
        <w:t xml:space="preserve"> на другие виды топлива на перспективу не прогнозируется.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Перспективный топливный баланс для </w:t>
      </w:r>
      <w:r>
        <w:rPr>
          <w:rFonts w:eastAsia="Calibri"/>
          <w:lang w:eastAsia="en-US"/>
        </w:rPr>
        <w:t xml:space="preserve">котельных Тайшетского городского поселения</w:t>
      </w:r>
      <w:r>
        <w:rPr>
          <w:shd w:val="clear" w:color="auto" w:fill="ffffff"/>
        </w:rPr>
        <w:t xml:space="preserve"> по основному виду топлива на каждом этапе представлен в Таблице 25.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right"/>
        <w:tabs>
          <w:tab w:val="left" w:pos="567" w:leader="none"/>
          <w:tab w:val="right" w:pos="9923" w:leader="dot"/>
        </w:tabs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  <w:t xml:space="preserve">Таблица 25</w:t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  <w:t xml:space="preserve">Перспективный топливный баланс для </w:t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color w:val="auto"/>
          <w:shd w:val="clear" w:color="auto" w:fill="ffffff"/>
        </w:rPr>
      </w:pPr>
      <w:r>
        <w:rPr>
          <w:rFonts w:eastAsia="Calibri"/>
          <w:color w:val="auto"/>
          <w:lang w:eastAsia="en-US"/>
        </w:rPr>
        <w:t xml:space="preserve">котельных Тайшетского городского поселения</w:t>
      </w:r>
      <w:r>
        <w:rPr>
          <w:color w:val="auto"/>
          <w:shd w:val="clear" w:color="auto" w:fill="ffffff"/>
        </w:rPr>
        <w:t xml:space="preserve"> по основному виду топлива</w:t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tbl>
      <w:tblPr>
        <w:tblW w:w="10084" w:type="dxa"/>
        <w:tblInd w:w="-176" w:type="dxa"/>
        <w:tblLook w:val="04A0" w:firstRow="1" w:lastRow="0" w:firstColumn="1" w:lastColumn="0" w:noHBand="0" w:noVBand="1"/>
      </w:tblPr>
      <w:tblGrid>
        <w:gridCol w:w="2411"/>
        <w:gridCol w:w="766"/>
        <w:gridCol w:w="766"/>
        <w:gridCol w:w="766"/>
        <w:gridCol w:w="766"/>
        <w:gridCol w:w="766"/>
        <w:gridCol w:w="766"/>
        <w:gridCol w:w="766"/>
        <w:gridCol w:w="766"/>
        <w:gridCol w:w="766"/>
        <w:gridCol w:w="770"/>
        <w:gridCol w:w="9"/>
      </w:tblGrid>
      <w:tr>
        <w:tblPrEx/>
        <w:trPr>
          <w:gridAfter w:val="1"/>
          <w:trHeight w:val="326"/>
          <w:tblHeader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</w:rPr>
            </w:r>
            <w:bookmarkStart w:id="31" w:name="_Toc149054988"/>
            <w:r>
              <w:rPr>
                <w:bCs/>
                <w:color w:val="auto"/>
                <w:sz w:val="22"/>
                <w:szCs w:val="22"/>
              </w:rPr>
              <w:t xml:space="preserve">Наименование основного вида топлива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10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Годовое потребление топлива муниципальными котельными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  <w:tblHeader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3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Базовый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8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13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Перспективный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600"/>
          <w:tblHeader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2030-2034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2035-2039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2040-2041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15"/>
        </w:trPr>
        <w:tc>
          <w:tcPr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08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Котельная №1 (ТКСИ)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6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разреза, т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30554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30355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29638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30368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32014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32967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50378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50378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50378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50378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657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разреза, т у.т.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18612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18225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18044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18231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19528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20110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30731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30731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30731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30731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13"/>
        </w:trPr>
        <w:tc>
          <w:tcPr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08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Котельная № 2 (ШПЗ)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857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разреза, т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42241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42005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42552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43601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44057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44196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47697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47697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47697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47697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633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разреза, т у.т.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25745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25203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25906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26176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26875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26960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29095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29095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29095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29095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08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Котельная № 3 (Мелькомбинат)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6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разреза, т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3302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3409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765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разреза, т у.т.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2016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2067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2075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08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Котельная № 4 (Экспедиция 5)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777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разреза, т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1904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2065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702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разреза, т у.т.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1175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1238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1243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1276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1276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1276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1276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1276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1276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08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Котельная № 5 (Совхоз)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6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разреза, т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798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792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826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разреза, т у.т.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68"/>
        </w:trPr>
        <w:tc>
          <w:tcPr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08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Электрокотельная ДТВ ОАО «РЖД»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507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Электроэнергия, тысяч кВт.ч/год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08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Электрокотельная ПС-500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391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Электроэнергия, тысяч кВт.ч/год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</w:tbl>
    <w:p>
      <w:pPr>
        <w:ind w:firstLine="709"/>
        <w:jc w:val="both"/>
        <w:keepLines/>
        <w:keepNext/>
        <w:widowControl w:val="off"/>
        <w:rPr>
          <w:bCs/>
          <w:color w:val="auto"/>
        </w:rPr>
      </w:pPr>
      <w:r>
        <w:rPr>
          <w:bCs/>
          <w:color w:val="auto"/>
        </w:rPr>
      </w:r>
      <w:r>
        <w:rPr>
          <w:bCs/>
          <w:color w:val="auto"/>
        </w:rPr>
      </w:r>
      <w:r>
        <w:rPr>
          <w:bCs/>
          <w:color w:val="auto"/>
        </w:rPr>
      </w:r>
    </w:p>
    <w:p>
      <w:pPr>
        <w:ind w:firstLine="709"/>
        <w:jc w:val="both"/>
        <w:keepLines/>
        <w:keepNext/>
        <w:widowControl w:val="off"/>
        <w:rPr>
          <w:bCs/>
          <w:color w:val="auto"/>
        </w:rPr>
      </w:pPr>
      <w:r>
        <w:rPr>
          <w:bCs/>
          <w:color w:val="auto"/>
        </w:rPr>
        <w:t xml:space="preserve">8.2. Потребляемые источником тепловой энергии виды топлива, включая местные виды топлива, а также используемые возобновляемые источники энергии</w:t>
      </w:r>
      <w:bookmarkEnd w:id="31"/>
      <w:r>
        <w:rPr>
          <w:bCs/>
          <w:color w:val="auto"/>
        </w:rPr>
      </w:r>
      <w:r>
        <w:rPr>
          <w:bCs/>
          <w:color w:val="auto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="Calibri"/>
          <w:color w:val="auto"/>
        </w:rPr>
      </w:pPr>
      <w:r>
        <w:rPr>
          <w:rFonts w:eastAsia="Calibri"/>
          <w:color w:val="auto"/>
          <w:lang w:eastAsia="en-US"/>
        </w:rPr>
        <w:t xml:space="preserve">Основным видом топлива для существующих </w:t>
      </w:r>
      <w:r>
        <w:rPr>
          <w:color w:val="auto"/>
          <w:shd w:val="clear" w:color="auto" w:fill="ffffff"/>
        </w:rPr>
        <w:t xml:space="preserve">муниципальных </w:t>
      </w:r>
      <w:r>
        <w:rPr>
          <w:rFonts w:eastAsia="Calibri"/>
          <w:color w:val="auto"/>
          <w:lang w:eastAsia="en-US"/>
        </w:rPr>
        <w:t xml:space="preserve">котельных Тайшетского городского поселения является </w:t>
      </w:r>
      <w:r>
        <w:rPr>
          <w:color w:val="auto"/>
          <w:shd w:val="clear" w:color="auto" w:fill="ffffff"/>
        </w:rPr>
        <w:t xml:space="preserve">уголь бурый марки Б </w:t>
      </w:r>
      <w:r>
        <w:rPr>
          <w:color w:val="auto"/>
          <w:spacing w:val="1"/>
          <w:shd w:val="clear" w:color="auto" w:fill="ffffff"/>
        </w:rPr>
        <w:t xml:space="preserve">Канско-Ачинский, Ирбейского разреза</w:t>
      </w:r>
      <w:r>
        <w:rPr>
          <w:rFonts w:eastAsia="Calibri"/>
          <w:color w:val="auto"/>
          <w:lang w:eastAsia="en-US"/>
        </w:rPr>
        <w:t xml:space="preserve">. Резервное и аварийное топливо для муниципальных котельных отсутствует.</w:t>
      </w:r>
      <w:r>
        <w:rPr>
          <w:rFonts w:eastAsia="Calibri"/>
          <w:color w:val="auto"/>
        </w:rPr>
      </w:r>
      <w:r>
        <w:rPr>
          <w:rFonts w:eastAsia="Calibri"/>
          <w:color w:val="auto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="Calibri"/>
          <w:color w:val="auto"/>
        </w:rPr>
      </w:pPr>
      <w:r>
        <w:rPr>
          <w:rFonts w:eastAsia="Calibri"/>
          <w:color w:val="auto"/>
          <w:lang w:eastAsia="en-US"/>
        </w:rPr>
        <w:t xml:space="preserve">Индивидуальные источники тепловой энергии Тайшетского городского поселения в малоэтажных жилых домах и </w:t>
      </w:r>
      <w:r>
        <w:rPr>
          <w:rFonts w:eastAsia="Calibri"/>
          <w:color w:val="auto"/>
          <w:lang w:eastAsia="en-US"/>
        </w:rPr>
        <w:t xml:space="preserve">индивидуальных жилых домах (индивидуальные котельные агрегаты, печи) в качестве топлива для отопления используют уголь бурый, дрова и электроэнергия.</w:t>
      </w:r>
      <w:r>
        <w:rPr>
          <w:rFonts w:eastAsia="Calibri"/>
          <w:color w:val="auto"/>
        </w:rPr>
      </w:r>
      <w:r>
        <w:rPr>
          <w:rFonts w:eastAsia="Calibri"/>
          <w:color w:val="auto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="Calibri"/>
          <w:color w:val="auto"/>
        </w:rPr>
      </w:pPr>
      <w:r>
        <w:rPr>
          <w:color w:val="auto"/>
          <w:shd w:val="clear" w:color="auto" w:fill="ffffff"/>
        </w:rPr>
        <w:t xml:space="preserve">Местным видом топлива в Тайшетском городском поселении являются дрова и уголь Шиткинского разреза.</w:t>
      </w:r>
      <w:r>
        <w:rPr>
          <w:rFonts w:eastAsia="Calibri"/>
          <w:color w:val="auto"/>
        </w:rPr>
      </w:r>
      <w:r>
        <w:rPr>
          <w:rFonts w:eastAsia="Calibri"/>
          <w:color w:val="auto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="Calibri"/>
          <w:color w:val="auto"/>
        </w:rPr>
      </w:pPr>
      <w:r>
        <w:rPr>
          <w:color w:val="auto"/>
          <w:shd w:val="clear" w:color="auto" w:fill="ffffff"/>
        </w:rPr>
        <w:t xml:space="preserve">На территории Тайшетского городского поселения возобновляемые источники тепловой энергии по состоянию на отчетный (базовый) 202</w:t>
      </w:r>
      <w:r>
        <w:rPr>
          <w:color w:val="auto"/>
          <w:shd w:val="clear" w:color="auto" w:fill="ffffff"/>
        </w:rPr>
        <w:t xml:space="preserve">4</w:t>
      </w:r>
      <w:r>
        <w:rPr>
          <w:color w:val="auto"/>
          <w:shd w:val="clear" w:color="auto" w:fill="ffffff"/>
        </w:rPr>
        <w:t xml:space="preserve"> год отсутствуют.</w:t>
      </w:r>
      <w:r>
        <w:rPr>
          <w:rFonts w:eastAsia="Calibri"/>
          <w:color w:val="auto"/>
        </w:rPr>
      </w:r>
      <w:r>
        <w:rPr>
          <w:rFonts w:eastAsia="Calibri"/>
          <w:color w:val="auto"/>
        </w:rPr>
      </w:r>
    </w:p>
    <w:p>
      <w:pPr>
        <w:ind w:firstLine="709"/>
        <w:jc w:val="both"/>
        <w:keepLines/>
        <w:keepNext/>
        <w:widowControl w:val="off"/>
        <w:rPr>
          <w:bCs/>
          <w:color w:val="auto"/>
          <w:shd w:val="clear" w:color="auto" w:fill="ffffff"/>
        </w:rPr>
      </w:pPr>
      <w:r>
        <w:rPr>
          <w:color w:val="auto"/>
        </w:rPr>
      </w:r>
      <w:bookmarkStart w:id="32" w:name="_Toc149054989"/>
      <w:r>
        <w:rPr>
          <w:bCs/>
          <w:color w:val="auto"/>
          <w:shd w:val="clear" w:color="auto" w:fill="ffffff"/>
        </w:rPr>
        <w:t xml:space="preserve">8.3. Виды топлива, их доля и значение низшей теплоты сгорания топлива, используемые для производства тепловой энергии по каждой системе теплоснабжения</w:t>
      </w:r>
      <w:bookmarkEnd w:id="32"/>
      <w:r>
        <w:rPr>
          <w:bCs/>
          <w:color w:val="auto"/>
          <w:shd w:val="clear" w:color="auto" w:fill="ffffff"/>
        </w:rPr>
      </w:r>
      <w:r>
        <w:rPr>
          <w:bCs/>
          <w:color w:val="auto"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  <w:t xml:space="preserve">Виды топлива, доля топлива и значение низшей теплоты сгорания топлива, используемые для производства тепловой энергии в системах теплоснабжения</w:t>
      </w:r>
      <w:r>
        <w:rPr>
          <w:color w:val="auto"/>
          <w:shd w:val="clear" w:color="auto" w:fill="ffffff"/>
        </w:rPr>
        <w:t xml:space="preserve"> </w:t>
      </w:r>
      <w:r>
        <w:rPr>
          <w:rFonts w:eastAsia="Calibri"/>
          <w:color w:val="auto"/>
          <w:lang w:eastAsia="en-US"/>
        </w:rPr>
        <w:t xml:space="preserve">котельных Тайшетского городского поселения,</w:t>
      </w:r>
      <w:r>
        <w:rPr>
          <w:color w:val="auto"/>
          <w:shd w:val="clear" w:color="auto" w:fill="ffffff"/>
        </w:rPr>
        <w:t xml:space="preserve"> представлены в Таблице 26.</w:t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p>
      <w:pPr>
        <w:jc w:val="right"/>
        <w:tabs>
          <w:tab w:val="left" w:pos="567" w:leader="none"/>
          <w:tab w:val="right" w:pos="9923" w:leader="dot"/>
        </w:tabs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  <w:t xml:space="preserve">Таблица 26</w:t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  <w:t xml:space="preserve">Виды топлива, доля топлива и значение низшей теплоты сгорания </w:t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  <w:t xml:space="preserve">топлива, используемые для производства тепловой энергии в системах </w:t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rFonts w:eastAsia="Calibri"/>
          <w:color w:val="auto"/>
        </w:rPr>
      </w:pPr>
      <w:r>
        <w:rPr>
          <w:color w:val="auto"/>
          <w:shd w:val="clear" w:color="auto" w:fill="ffffff"/>
        </w:rPr>
        <w:t xml:space="preserve">теплоснабжения </w:t>
      </w:r>
      <w:r>
        <w:rPr>
          <w:rFonts w:eastAsia="Calibri"/>
          <w:color w:val="auto"/>
          <w:lang w:eastAsia="en-US"/>
        </w:rPr>
        <w:t xml:space="preserve">котельных Тайшетского городского поселения</w:t>
      </w:r>
      <w:r>
        <w:rPr>
          <w:rFonts w:eastAsia="Calibri"/>
          <w:color w:val="auto"/>
        </w:rPr>
      </w:r>
      <w:r>
        <w:rPr>
          <w:rFonts w:eastAsia="Calibri"/>
          <w:color w:val="auto"/>
        </w:rPr>
      </w:r>
    </w:p>
    <w:tbl>
      <w:tblPr>
        <w:tblW w:w="9356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2552"/>
        <w:gridCol w:w="2977"/>
        <w:gridCol w:w="1842"/>
        <w:gridCol w:w="1985"/>
      </w:tblGrid>
      <w:tr>
        <w:tblPrEx/>
        <w:trPr>
          <w:trHeight w:val="974"/>
        </w:trPr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Наименование системы теплоснабжения муниципального образования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tcW w:w="2977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Вид используемого топлива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tcW w:w="1842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Доля используемого топлива в общем объеме топлива, %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tcW w:w="1985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Значение низшей теплоты сгорания используемого топлива, ккал/кг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Котельная №1 (ТКСИ)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2977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184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198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4270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Котельная № 2 (ШПЗ)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2977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184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198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Theme="minorHAnsi" w:hAnsiTheme="minorHAnsi" w:eastAsiaTheme="minorHAnsi" w:cstheme="minorBidi"/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4270</w:t>
            </w:r>
            <w:r>
              <w:rPr>
                <w:rFonts w:asciiTheme="minorHAnsi" w:hAnsiTheme="minorHAnsi" w:eastAsiaTheme="minorHAnsi" w:cstheme="minorBidi"/>
                <w:color w:val="auto"/>
                <w:sz w:val="22"/>
                <w:szCs w:val="22"/>
              </w:rPr>
            </w:r>
            <w:r>
              <w:rPr>
                <w:rFonts w:asciiTheme="minorHAnsi" w:hAnsiTheme="minorHAnsi" w:eastAsiaTheme="minorHAnsi" w:cstheme="minorBidi"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Котельная № 3 (Мелькомбинат)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2977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184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198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Theme="minorHAnsi" w:hAnsiTheme="minorHAnsi" w:eastAsiaTheme="minorHAnsi" w:cstheme="minorBidi"/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4270</w:t>
            </w:r>
            <w:r>
              <w:rPr>
                <w:rFonts w:asciiTheme="minorHAnsi" w:hAnsiTheme="minorHAnsi" w:eastAsiaTheme="minorHAnsi" w:cstheme="minorBidi"/>
                <w:color w:val="auto"/>
                <w:sz w:val="22"/>
                <w:szCs w:val="22"/>
              </w:rPr>
            </w:r>
            <w:r>
              <w:rPr>
                <w:rFonts w:asciiTheme="minorHAnsi" w:hAnsiTheme="minorHAnsi" w:eastAsiaTheme="minorHAnsi" w:cstheme="minorBidi"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Котельная № 4 (Экспедиция 5)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2977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184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198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Theme="minorHAnsi" w:hAnsiTheme="minorHAnsi" w:eastAsiaTheme="minorHAnsi" w:cstheme="minorBidi"/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4270</w:t>
            </w:r>
            <w:r>
              <w:rPr>
                <w:rFonts w:asciiTheme="minorHAnsi" w:hAnsiTheme="minorHAnsi" w:eastAsiaTheme="minorHAnsi" w:cstheme="minorBidi"/>
                <w:color w:val="auto"/>
                <w:sz w:val="22"/>
                <w:szCs w:val="22"/>
              </w:rPr>
            </w:r>
            <w:r>
              <w:rPr>
                <w:rFonts w:asciiTheme="minorHAnsi" w:hAnsiTheme="minorHAnsi" w:eastAsiaTheme="minorHAnsi" w:cstheme="minorBidi"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Котельная № 5 (Совхоз)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2977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184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198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Theme="minorHAnsi" w:hAnsiTheme="minorHAnsi" w:eastAsiaTheme="minorHAnsi" w:cstheme="minorBidi"/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4270</w:t>
            </w:r>
            <w:r>
              <w:rPr>
                <w:rFonts w:asciiTheme="minorHAnsi" w:hAnsiTheme="minorHAnsi" w:eastAsiaTheme="minorHAnsi" w:cstheme="minorBidi"/>
                <w:color w:val="auto"/>
                <w:sz w:val="22"/>
                <w:szCs w:val="22"/>
              </w:rPr>
            </w:r>
            <w:r>
              <w:rPr>
                <w:rFonts w:asciiTheme="minorHAnsi" w:hAnsiTheme="minorHAnsi" w:eastAsiaTheme="minorHAnsi" w:cstheme="minorBidi"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color w:val="auto"/>
                <w:sz w:val="22"/>
                <w:szCs w:val="22"/>
              </w:rPr>
            </w:pPr>
            <w:r>
              <w:rPr>
                <w:rFonts w:eastAsia="Calibri"/>
                <w:color w:val="auto"/>
                <w:sz w:val="22"/>
                <w:szCs w:val="22"/>
                <w:lang w:eastAsia="en-US"/>
              </w:rPr>
              <w:t xml:space="preserve">Электрокотельная ДТВ ОАО «РЖД»</w:t>
            </w:r>
            <w:r>
              <w:rPr>
                <w:rFonts w:eastAsia="Calibri"/>
                <w:color w:val="auto"/>
                <w:sz w:val="22"/>
                <w:szCs w:val="22"/>
              </w:rPr>
            </w:r>
            <w:r>
              <w:rPr>
                <w:rFonts w:eastAsia="Calibri"/>
                <w:color w:val="auto"/>
                <w:sz w:val="22"/>
                <w:szCs w:val="22"/>
              </w:rPr>
            </w:r>
          </w:p>
        </w:tc>
        <w:tc>
          <w:tcPr>
            <w:tcW w:w="29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Электроэнергия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184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198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-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color w:val="auto"/>
                <w:sz w:val="22"/>
                <w:szCs w:val="22"/>
              </w:rPr>
            </w:pPr>
            <w:r>
              <w:rPr>
                <w:rFonts w:eastAsia="Calibri"/>
                <w:color w:val="auto"/>
                <w:sz w:val="22"/>
                <w:szCs w:val="22"/>
                <w:lang w:eastAsia="en-US"/>
              </w:rPr>
              <w:t xml:space="preserve">Электрокотельная ПС-500</w:t>
            </w:r>
            <w:r>
              <w:rPr>
                <w:rFonts w:eastAsia="Calibri"/>
                <w:color w:val="auto"/>
                <w:sz w:val="22"/>
                <w:szCs w:val="22"/>
              </w:rPr>
            </w:r>
            <w:r>
              <w:rPr>
                <w:rFonts w:eastAsia="Calibri"/>
                <w:color w:val="auto"/>
                <w:sz w:val="22"/>
                <w:szCs w:val="22"/>
              </w:rPr>
            </w:r>
          </w:p>
        </w:tc>
        <w:tc>
          <w:tcPr>
            <w:tcW w:w="29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Электроэнергия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184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198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-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</w:tbl>
    <w:p>
      <w:pPr>
        <w:ind w:firstLine="709"/>
        <w:jc w:val="both"/>
        <w:keepLines/>
        <w:keepNext/>
        <w:widowControl w:val="off"/>
        <w:rPr>
          <w:bCs/>
          <w:color w:val="auto"/>
          <w:shd w:val="clear" w:color="auto" w:fill="ffffff"/>
        </w:rPr>
      </w:pPr>
      <w:r>
        <w:rPr>
          <w:color w:val="auto"/>
        </w:rPr>
      </w:r>
      <w:bookmarkStart w:id="33" w:name="_Toc149054990"/>
      <w:r>
        <w:rPr>
          <w:bCs/>
          <w:color w:val="auto"/>
          <w:shd w:val="clear" w:color="auto" w:fill="ffffff"/>
        </w:rPr>
        <w:t xml:space="preserve">8.4. Преобладающий в Тайшетском городском поселении вид топлива, определяемый по совокупности всех систем теплоснабжения, находящихся в Тайшетском городском поселении</w:t>
      </w:r>
      <w:bookmarkEnd w:id="33"/>
      <w:r>
        <w:rPr>
          <w:bCs/>
          <w:color w:val="auto"/>
          <w:shd w:val="clear" w:color="auto" w:fill="ffffff"/>
        </w:rPr>
      </w:r>
      <w:r>
        <w:rPr>
          <w:bCs/>
          <w:color w:val="auto"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  <w:t xml:space="preserve">Во всех системах теплоснабжения Тайшетского городского поселения основным и преобладающим видом топлива является уголь бурый марки Б (</w:t>
      </w:r>
      <w:r>
        <w:rPr>
          <w:color w:val="auto"/>
          <w:spacing w:val="1"/>
          <w:shd w:val="clear" w:color="auto" w:fill="ffffff"/>
        </w:rPr>
        <w:t xml:space="preserve">Канско-Ачинский, Ирбейского разреза)</w:t>
      </w:r>
      <w:r>
        <w:rPr>
          <w:color w:val="auto"/>
          <w:shd w:val="clear" w:color="auto" w:fill="ffffff"/>
        </w:rPr>
        <w:t xml:space="preserve">. </w:t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  <w:t xml:space="preserve">Индивидуальные и</w:t>
      </w:r>
      <w:r>
        <w:rPr>
          <w:color w:val="auto"/>
          <w:shd w:val="clear" w:color="auto" w:fill="ffffff"/>
        </w:rPr>
        <w:t xml:space="preserve">сточники тепловой энергии (индивидуальные котельные агрегаты, печи) муниципального образования для отопления используют уголь бурый, дрова и электроэнергия. Другие виды топлива на территории муниципального образования по состоянию на отчетный (базовый) 202</w:t>
      </w:r>
      <w:r>
        <w:rPr>
          <w:color w:val="auto"/>
          <w:shd w:val="clear" w:color="auto" w:fill="ffffff"/>
        </w:rPr>
        <w:t xml:space="preserve">4</w:t>
      </w:r>
      <w:r>
        <w:rPr>
          <w:color w:val="auto"/>
          <w:shd w:val="clear" w:color="auto" w:fill="ffffff"/>
        </w:rPr>
        <w:t xml:space="preserve"> год не используются.</w:t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p>
      <w:pPr>
        <w:ind w:firstLine="709"/>
        <w:jc w:val="both"/>
        <w:keepLines/>
        <w:keepNext/>
        <w:widowControl w:val="off"/>
        <w:rPr>
          <w:bCs/>
          <w:color w:val="auto"/>
        </w:rPr>
      </w:pPr>
      <w:r>
        <w:rPr>
          <w:color w:val="auto"/>
        </w:rPr>
      </w:r>
      <w:bookmarkStart w:id="34" w:name="_Toc149054991"/>
      <w:r>
        <w:rPr>
          <w:bCs/>
          <w:color w:val="auto"/>
        </w:rPr>
        <w:t xml:space="preserve">8.5. Приоритетное направление развития топливного баланса Тайшетского городского поселения</w:t>
      </w:r>
      <w:bookmarkEnd w:id="34"/>
      <w:r>
        <w:rPr>
          <w:bCs/>
          <w:color w:val="auto"/>
        </w:rPr>
      </w:r>
      <w:r>
        <w:rPr>
          <w:bCs/>
          <w:color w:val="auto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  <w:t xml:space="preserve">Приоритетным направлением развития топливного баланса Тайшетского городского поселения на перспективу является сохранение в качестве основного вида</w:t>
      </w:r>
      <w:r>
        <w:rPr>
          <w:color w:val="auto"/>
          <w:shd w:val="clear" w:color="auto" w:fill="ffffff"/>
        </w:rPr>
        <w:t xml:space="preserve"> топлива в системах теплоснабжения </w:t>
      </w:r>
      <w:r>
        <w:rPr>
          <w:rFonts w:eastAsia="Calibri"/>
          <w:color w:val="auto"/>
          <w:lang w:eastAsia="en-US"/>
        </w:rPr>
        <w:t xml:space="preserve">муниципальных котельных </w:t>
      </w:r>
      <w:r>
        <w:rPr>
          <w:color w:val="auto"/>
          <w:shd w:val="clear" w:color="auto" w:fill="ffffff"/>
        </w:rPr>
        <w:t xml:space="preserve">угля бурого марки Б </w:t>
      </w:r>
      <w:r>
        <w:rPr>
          <w:color w:val="auto"/>
          <w:spacing w:val="1"/>
          <w:shd w:val="clear" w:color="auto" w:fill="ffffff"/>
        </w:rPr>
        <w:t xml:space="preserve">Канско-Ачинский, Ирбейского разреза</w:t>
      </w:r>
      <w:r>
        <w:rPr>
          <w:rFonts w:eastAsia="Calibri"/>
          <w:color w:val="auto"/>
          <w:lang w:eastAsia="en-US"/>
        </w:rPr>
        <w:t xml:space="preserve">, в системах теплоснабжения малоэтажных жилых домов и индивидуальных жилых домов муниципального образования - угля бурого, дров и электроэнергии</w:t>
      </w:r>
      <w:r>
        <w:rPr>
          <w:color w:val="auto"/>
          <w:shd w:val="clear" w:color="auto" w:fill="ffffff"/>
        </w:rPr>
        <w:t xml:space="preserve">. Перевод всех систем теплоснабжения муниципального образования на другие виды топлива не прогнозируется. Формирование резервного, аварийного топлива, возобновляемых источников тепловой энергии на территории муниципального образования не прогнозируется.</w:t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p>
      <w:pPr>
        <w:jc w:val="center"/>
        <w:widowControl w:val="off"/>
        <w:tabs>
          <w:tab w:val="left" w:pos="567" w:leader="none"/>
          <w:tab w:val="right" w:pos="9923" w:leader="dot"/>
        </w:tabs>
        <w:rPr>
          <w:rFonts w:eastAsia="Calibri"/>
          <w:color w:val="auto"/>
        </w:rPr>
      </w:pPr>
      <w:r>
        <w:rPr>
          <w:rFonts w:eastAsia="Calibri"/>
          <w:color w:val="auto"/>
          <w:lang w:eastAsia="en-US"/>
        </w:rPr>
      </w:r>
      <w:r>
        <w:rPr>
          <w:rFonts w:eastAsia="Calibri"/>
          <w:color w:val="auto"/>
        </w:rPr>
      </w:r>
      <w:r>
        <w:rPr>
          <w:rFonts w:eastAsia="Calibri"/>
          <w:color w:val="auto"/>
        </w:rPr>
      </w:r>
    </w:p>
    <w:p>
      <w:pPr>
        <w:contextualSpacing/>
        <w:jc w:val="center"/>
        <w:keepLines/>
        <w:keepNext/>
        <w:widowControl w:val="off"/>
        <w:rPr>
          <w:bCs/>
          <w:caps/>
          <w:color w:val="auto"/>
          <w:szCs w:val="26"/>
        </w:rPr>
      </w:pPr>
      <w:r>
        <w:rPr>
          <w:color w:val="auto"/>
        </w:rPr>
      </w:r>
      <w:bookmarkStart w:id="35" w:name="_Toc149054992"/>
      <w:r>
        <w:rPr>
          <w:bCs/>
          <w:caps/>
          <w:color w:val="auto"/>
          <w:szCs w:val="26"/>
        </w:rPr>
        <w:t xml:space="preserve">РАЗДЕЛ 9. ИНВЕСТИЦИИ В СТРОИТЕЛЬСТВО, РЕКОНСТРУКЦИЮ, ТЕХНИЧЕСКОЕ ПЕРЕВООРУЖЕНИЕ И МОДЕРНИЗАЦИЮ</w:t>
      </w:r>
      <w:bookmarkEnd w:id="35"/>
      <w:r>
        <w:rPr>
          <w:bCs/>
          <w:caps/>
          <w:color w:val="auto"/>
          <w:szCs w:val="26"/>
        </w:rPr>
      </w:r>
      <w:r>
        <w:rPr>
          <w:bCs/>
          <w:caps/>
          <w:color w:val="auto"/>
          <w:szCs w:val="26"/>
        </w:rPr>
      </w:r>
    </w:p>
    <w:p>
      <w:pPr>
        <w:ind w:firstLine="709"/>
        <w:jc w:val="both"/>
        <w:keepLines/>
        <w:keepNext/>
        <w:widowControl w:val="off"/>
        <w:rPr>
          <w:bCs/>
          <w:color w:val="auto"/>
          <w:shd w:val="clear" w:color="auto" w:fill="ffffff"/>
        </w:rPr>
      </w:pPr>
      <w:r>
        <w:rPr>
          <w:color w:val="auto"/>
        </w:rPr>
      </w:r>
      <w:bookmarkStart w:id="36" w:name="_Toc149054993"/>
      <w:r>
        <w:rPr>
          <w:bCs/>
          <w:color w:val="auto"/>
        </w:rPr>
        <w:t xml:space="preserve">9.1. </w:t>
      </w:r>
      <w:r>
        <w:rPr>
          <w:bCs/>
          <w:color w:val="auto"/>
          <w:shd w:val="clear" w:color="auto" w:fill="ffffff"/>
        </w:rPr>
        <w:t xml:space="preserve">Предложения по величине необходимых инвестиций в строительство, реконструкцию, техническое перевооружение и модернизацию источников тепловой энергии на каждом этапе</w:t>
      </w:r>
      <w:bookmarkEnd w:id="36"/>
      <w:r>
        <w:rPr>
          <w:bCs/>
          <w:color w:val="auto"/>
          <w:shd w:val="clear" w:color="auto" w:fill="ffffff"/>
        </w:rPr>
        <w:t xml:space="preserve">.</w:t>
      </w:r>
      <w:r>
        <w:rPr>
          <w:bCs/>
          <w:color w:val="auto"/>
          <w:shd w:val="clear" w:color="auto" w:fill="ffffff"/>
        </w:rPr>
      </w:r>
      <w:r>
        <w:rPr>
          <w:bCs/>
          <w:color w:val="auto"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  <w:t xml:space="preserve">С целью повышения эффективности и уровня надежности функционирования систем теплоснабжения Тайшетского городского поселения величина необходимых инвестиций на выполнение мероприятий указаны в Таблице 27.</w:t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p>
      <w:pPr>
        <w:ind w:firstLine="709"/>
        <w:jc w:val="both"/>
        <w:widowControl w:val="off"/>
        <w:rPr>
          <w:color w:val="auto"/>
        </w:rPr>
      </w:pPr>
      <w:r>
        <w:rPr>
          <w:color w:val="auto"/>
        </w:rPr>
        <w:t xml:space="preserve">Объемы инвестиций определены по укрупненным показателям на основании объектов-аналогов и должны быть уточнены. </w:t>
      </w:r>
      <w:r>
        <w:rPr>
          <w:color w:val="auto"/>
        </w:rPr>
      </w:r>
      <w:r>
        <w:rPr>
          <w:color w:val="auto"/>
        </w:rPr>
      </w:r>
    </w:p>
    <w:p>
      <w:pPr>
        <w:ind w:firstLine="709"/>
        <w:jc w:val="both"/>
        <w:widowControl w:val="off"/>
        <w:rPr>
          <w:color w:val="auto"/>
        </w:rPr>
      </w:pPr>
      <w:r>
        <w:rPr>
          <w:color w:val="auto"/>
        </w:rPr>
        <w:t xml:space="preserve">Для определения точной стоимость проведения работ необходима разработка проектно-сметной документации.</w:t>
      </w:r>
      <w:r>
        <w:rPr>
          <w:color w:val="auto"/>
        </w:rPr>
      </w:r>
      <w:r>
        <w:rPr>
          <w:color w:val="auto"/>
        </w:rPr>
      </w:r>
    </w:p>
    <w:p>
      <w:pPr>
        <w:ind w:firstLine="709"/>
        <w:jc w:val="both"/>
        <w:widowControl w:val="off"/>
        <w:rPr>
          <w:color w:val="auto"/>
        </w:rPr>
      </w:pPr>
      <w:r>
        <w:rPr>
          <w:color w:val="auto"/>
        </w:rPr>
        <w:t xml:space="preserve">С целью повышения эффективности работы систем теплоснабжения объектов, отапливаемых от модульных котельных муниципального образования «Тайшетский район», величина необходимых инвестиций для выполнения мероприятий указаны в Таблице 27.1</w:t>
      </w:r>
      <w:r>
        <w:rPr>
          <w:color w:val="auto"/>
        </w:rPr>
      </w:r>
      <w:r>
        <w:rPr>
          <w:color w:val="auto"/>
        </w:rPr>
      </w:r>
    </w:p>
    <w:p>
      <w:pPr>
        <w:ind w:firstLine="567"/>
        <w:jc w:val="both"/>
        <w:spacing w:line="100" w:lineRule="atLeast"/>
        <w:widowControl w:val="off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spacing w:after="200" w:line="276" w:lineRule="auto"/>
        <w:rPr>
          <w:color w:val="auto"/>
        </w:rPr>
        <w:sectPr>
          <w:footnotePr/>
          <w:endnotePr/>
          <w:type w:val="nextPage"/>
          <w:pgSz w:w="11906" w:h="16838" w:orient="portrait"/>
          <w:pgMar w:top="1134" w:right="851" w:bottom="1134" w:left="1701" w:header="340" w:footer="0" w:gutter="0"/>
          <w:cols w:num="1" w:sep="0" w:space="708" w:equalWidth="1"/>
          <w:docGrid w:linePitch="360"/>
          <w:titlePg/>
        </w:sect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ind w:firstLine="709"/>
        <w:jc w:val="right"/>
        <w:rPr>
          <w:color w:val="auto"/>
        </w:rPr>
      </w:pPr>
      <w:r>
        <w:rPr>
          <w:color w:val="auto"/>
        </w:rPr>
        <w:t xml:space="preserve">Таблица 27</w:t>
      </w:r>
      <w:r>
        <w:rPr>
          <w:color w:val="auto"/>
        </w:rPr>
      </w:r>
      <w:r>
        <w:rPr>
          <w:color w:val="auto"/>
        </w:rPr>
      </w:r>
    </w:p>
    <w:p>
      <w:pPr>
        <w:jc w:val="center"/>
        <w:rPr>
          <w:color w:val="auto"/>
        </w:rPr>
      </w:pPr>
      <w:r>
        <w:rPr>
          <w:color w:val="auto"/>
        </w:rPr>
        <w:t xml:space="preserve">Величина инвестиций в строительство, реконструкцию и техническое перевооружение источников тепловой энергии</w:t>
      </w:r>
      <w:r>
        <w:rPr>
          <w:color w:val="auto"/>
        </w:rPr>
      </w:r>
      <w:r>
        <w:rPr>
          <w:color w:val="auto"/>
        </w:rPr>
      </w:r>
    </w:p>
    <w:p>
      <w:pPr>
        <w:jc w:val="center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tbl>
      <w:tblPr>
        <w:tblW w:w="15689" w:type="dxa"/>
        <w:tblInd w:w="113" w:type="dxa"/>
        <w:tblLook w:val="04A0" w:firstRow="1" w:lastRow="0" w:firstColumn="1" w:lastColumn="0" w:noHBand="0" w:noVBand="1"/>
      </w:tblPr>
      <w:tblGrid>
        <w:gridCol w:w="1877"/>
        <w:gridCol w:w="4412"/>
        <w:gridCol w:w="18"/>
        <w:gridCol w:w="968"/>
        <w:gridCol w:w="18"/>
        <w:gridCol w:w="753"/>
        <w:gridCol w:w="18"/>
        <w:gridCol w:w="760"/>
        <w:gridCol w:w="7"/>
        <w:gridCol w:w="12"/>
        <w:gridCol w:w="759"/>
        <w:gridCol w:w="19"/>
        <w:gridCol w:w="759"/>
        <w:gridCol w:w="19"/>
        <w:gridCol w:w="912"/>
        <w:gridCol w:w="19"/>
        <w:gridCol w:w="867"/>
        <w:gridCol w:w="19"/>
        <w:gridCol w:w="864"/>
        <w:gridCol w:w="7"/>
        <w:gridCol w:w="12"/>
        <w:gridCol w:w="967"/>
        <w:gridCol w:w="19"/>
        <w:gridCol w:w="857"/>
        <w:gridCol w:w="19"/>
        <w:gridCol w:w="715"/>
        <w:gridCol w:w="7"/>
        <w:gridCol w:w="6"/>
      </w:tblGrid>
      <w:tr>
        <w:tblPrEx/>
        <w:trPr>
          <w:gridAfter w:val="1"/>
          <w:trHeight w:val="21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№ п/п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Наименование мероприятия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5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9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Планируемая потребность в финансовых средствах, тысяч рублей без учета НДС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315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98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Итого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5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Базовый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425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Первый 5-летний период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7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25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Последующие 5-летние периоды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81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98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2030-2034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2035-2039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2040-2041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15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Котельные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15"/>
        </w:trPr>
        <w:tc>
          <w:tcPr>
            <w:gridSpan w:val="3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307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1. Котельная № 1 (ТКСИ)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898662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5887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9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12937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54663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25839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95256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134666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112908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330090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126417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2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электрооборудования котельной: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80229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2141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33532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44555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оборудования подстанции ТП-15-2/1600 (06379) 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80229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33532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44555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контрольно-измерительных приборов и автоматики котлов 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0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Дооборудование котельной 1-ой очереди автоматическими системами, обеспечивающими пожарную безопасность в соответствии с действующими нормами и правилами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12620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12620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ОПО. Котельная №1 первой очереди (12). Техническое перевооружение агрегата КЕ25-14 ст.№2 со вспомогательным оборудованием на котельной №1 (ТКСИ) (инвентарный №1000062)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77184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14155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15573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47456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ОПО. Котельная №1 первой очереди (12). Модернизация группы сетевых подогревателей с установкой подогревателей типа ПСВ-90-7-15 количестве 2 штук.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25150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1688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8569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14893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системы очистки сточных вод котельной 1-ой очереди с возможностью распространения основных технических решений на прочие теплоисточники ОП «ТТС» АО «Байкалэнерго»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114349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10266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12227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насоса ЦН 400/105 ст.№ 26 с установкой ЧРП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4941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922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4019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котельного агрегата КЕ-25-14 станционный № 3 для восстановления располагаемой мощности котельной № 1 и обеспечения перспективных нагрузок.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126417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126417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ОПО. Котельная №1 первой очереди (12). Модернизация прямого и обратного коллекторов группы сетевых насосов котельной №1 с целью увеличения пропускной способности для обеспечения перспективных нагрузок.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25758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1365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1875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22518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автотракторного бокса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35659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5659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железнодорожного пути необщего пользования, расположенного по адресу город Тайшет, улица Индустриальная, 3/9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оборудования здания дробильного отделения с 3-мя узлами пересыпки город Тайшет, улица Индустриальная, 3/2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здания дробильного отделения с 3-мя узлами пересыпки город Тайшет, улица Индустриальная, 3/2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здания гаража (пристрой к АБК)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30978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30978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"Реконструкция системы видеонаблюдения территории котельной 1-й очереди г. Тайшет, ул. Индустриальная, 3/1 (инв.№ 100004)""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1226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974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05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резервуара металлического (Бак аккумуляторный У-700), Котельной №1 (ТКСИ) (инв.№ 10027- Бак аккумуляторный У-700 м3)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44301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2123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42178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"Модернизация наружного освещения периметра котельной 1-й очереди г. Тайшет, ул. Индустриальная, 3/1 ОП "ТТС" АО "Байкалэнерго (инв.№ 100004)""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2601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2422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оборудования химлаборатории котельной 1-ой очереди (инв.№ 100004). Шкаф вытяжной ЛК-1200 ШВП.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560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560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конденсатных баков котельной 1-ой очереди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11410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2974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8436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деаэратора сетевого контура ДА-200 котельной 1-ой очереди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8396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8396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деаэратора котлового контура ДА-100 котельной 1-ой очереди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8396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8396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склада топлива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фильтров ХВО котлового контура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8430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981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3995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оборудования скалада реагентов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15"/>
        </w:trPr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89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2. Котельная № 2 (ШПЗ)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642975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4881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9910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32883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39012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110947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89204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114115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191787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50236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283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 котельная №2. Техническое перевооружение котельного агрегата КЕ 10-14С станционный №1 (ШПЗ) с приобретением и монтажом вспомогательного оборудования и шита </w:t>
            </w:r>
            <w:r>
              <w:rPr>
                <w:color w:val="auto"/>
                <w:sz w:val="22"/>
                <w:szCs w:val="22"/>
              </w:rPr>
              <w:t xml:space="preserve">управления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47002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3350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14906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28746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9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КИПиА. Создание щитов управления котлов паровых КЕ-10 14С станционный №2, ДКВр-20/13 станционный №3, станционный №4, станционный №5 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31255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31255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группы сетевых подогревателей. Замена подогревателей сетевой воды ПСВ 200-7-15 станционный № 7, ПСВ-90-7-15 станционный №9.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11509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3742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7767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золоуловителей МП-3100 к/а КЕ 10/14  станционный №2.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вспомогательного оборудования котельных агрегатов ДКВр 20/13 станционный № 3, 4, 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14100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охладителей выпара ОВА 16 (станционный №1, станционный № 2)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аспирационной установки топливоподачи станционный № 3 тракта углеподачи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2700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2700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тракта углеподачи (ограждающих конструктивных элементов и дренажной системы)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705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оборудования химводоподготовки. Замена фильтров ФИПа станционный №1, станционный №2, станционный №3, станционный №4.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11163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11163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15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питательных насосов котельной № 2. Замена питательных насосов (ЦНСг 60/231 станционный №1 - 1 шт., ЦНСГ-105-196 - 2 шт.) на современные энергоэффективные аналоги с применением ЧРП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резервуара металлического (стального бака-аккумулятора 2000м3 ст.№1)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44913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2735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42178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5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</w:t>
            </w:r>
            <w:r>
              <w:rPr>
                <w:color w:val="auto"/>
                <w:sz w:val="22"/>
                <w:szCs w:val="22"/>
              </w:rPr>
              <w:t xml:space="preserve">ция кровли котельной №2 ОП «ТТС» АО «Байкалэнерго» (котельная с четырьмя двухэтажными и тремя одноэтажными пристроями, с пристроем золоудаления и здания углеподачи, инв. № 91, расположенная по адресу: Иркутская обл., г. Тайшет, ул. Гагарина, 114»)»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5763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4881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системы пожаротушения галереи тракта углеподачи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Модерниазция здания котельной с устройством блочного санитарно-бытового помещения.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 "Котельная № 2" III класса опасности рег. № А67-01914-0014. Модернизация трубопровода пара от к/а №1, 2 (инв. №240/1) и трубопровода пара от к/а №3, 4, 5 (инв. №232/1) котельной №2 (ШПЗ). Устройство редукционной установки.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26549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19613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системы очистки сточных вод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112493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10266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12227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емкостей подпиточных горизонтальных ст.№ 1, ст.№ 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11717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8436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здания котельной и тракта топливоподачи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 котельная №2. Техническое перевооружение котельного агрегата ДКВр-20-13 станционный № 3 (ШПЗ) с приобретением и монтажом вспомогательного оборудования и шита </w:t>
            </w:r>
            <w:r>
              <w:rPr>
                <w:color w:val="auto"/>
                <w:sz w:val="22"/>
                <w:szCs w:val="22"/>
              </w:rPr>
              <w:t xml:space="preserve">управления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105248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4435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39708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61106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 котельная №2. Техническое перевооружение котельного агрегата ДКВр-20-13 станционный № 4 (ШПЗ) с приобретением и монтажом вспомогательного оборудования и шита управления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105248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4435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39708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61106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45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2.21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Реконструкция и модернизация электрооборудования котельной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50847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7475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25788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17584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2.21.1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и модернизация электрооборудования котельной № 2 (ШПЗ) . Модернизация сооружения - воздушной линии электроснабжения котельной котельной № 2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1579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2157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2.21.2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и модернизация электрооборудования котельной № 2 (ШПЗ). Модернизация ячеек КСО-298 (9 штук) и КСО-272 (2 ячейки).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16960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1532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15428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2.21.3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и модернизация электрооборудования котельной № 2 (ШПЗ). Модернизация трансформаторных подстанций ТП-1 и ТП-2.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26854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2249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24605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2.21.4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и модернизация электрооборудования котельной № 2 (ШПЗ). Модернизация распределительного устройства РУ 0,4 кВ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15"/>
        </w:trPr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89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3. Котельная № 3 (Мелькомбинат)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99674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2402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3643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476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18356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22383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32914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15500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Дооборудование котельной №3 автоматическими системами, обеспечивающими пожарную безопасность в соответствии с действующими нормами и </w:t>
            </w:r>
            <w:r>
              <w:rPr>
                <w:color w:val="auto"/>
                <w:sz w:val="22"/>
                <w:szCs w:val="22"/>
              </w:rPr>
              <w:t xml:space="preserve">правилами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системы очистки сточных вод котельной № 3 ОП "ТТС"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44398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1484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18914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«Техническое перевооружение ОПО котельная №3 «Мелькомбинат». Модернизация главного паропровода от котлоагрегатов (от теплообменников). Устройство редукционной установки. (инвентарный № 40118/1)»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5037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918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3643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подпиточной емкости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7897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емкости сырой воды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5841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насосного оборудования (питательные, сетевые насосы)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фильтров ХВО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вспомогательного оборудования котельных агрегатов ДКВр 6,5/13 станционный № 1, № 2.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15"/>
        </w:trPr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89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4. Котельная № 4 (Экспедиции № 5)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18058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447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2608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2191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6030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1381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насосного оборудования сетевой группы котельной № 4 (замена физически изношенных и морально устаревших насосных агрегатов Д250/50)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821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1381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котельной №4 (Экспедиция №5). Приобретение и монтаж котельного агрегата КВМ-1,25 взамен отработавшего нормативный срок КВМ-1,25. (инвентарный №10028Т)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1805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1805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"Модернизация газоходов котельной №4. Устройство газоочистного оборудования." (с ПИР) (инв. №б/н)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1651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803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емкости сырой воды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5588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1370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4218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вспомогательного оборудования котельных агрегатов станционный № 1, № 2.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2"/>
        </w:trPr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89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5. Котельная № 5 (Совхоз)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41114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1443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38290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1381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основного и вспомогательного оборудования котельной № 5. Приобретение и монтаж автоматической угольной блочно-модульной котельной.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30043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30043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сетевых насосов. Замена физически изношенных насосов сетевых КМ-100-65-200 - станционный №1, станционный № 2 котельной № 5 на современные аналоги с частотно-регулируемым приводом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4014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821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1381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котельной №5. Приобретение и монтаж котельного агрегата  взамен отработавшего нормативный срок КВм-1,25 (со вспомогательным оборудованием)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5030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5030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газоходов котельной №5. Устройство газоочистного оборудования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622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1404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48"/>
        </w:trPr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89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6. Прочие мероприятия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4588516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6453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13444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36031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176330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333970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4022289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Площадка размещения золошлаковых отходов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50000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и монтаж блочно-модульного санитарно-бытового помещения для участка тепловых сетей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спецтехники с целью обеспечения надежности теплоснабжения Бульдозер SHANTUI SD-16 (или аналог)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13444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13444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спецтехники с целью обеспечения надежности теплоснабжения. Приобретение машины Камаз для транспортирования ЗШО до площадки </w:t>
            </w:r>
            <w:r>
              <w:rPr>
                <w:color w:val="auto"/>
                <w:sz w:val="22"/>
                <w:szCs w:val="22"/>
              </w:rPr>
              <w:t xml:space="preserve">временного накопления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6453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6453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283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спецтехники с целью обеспечения надежности теплоснабжения. Приобретение кран-манипуляторной установки на базе КАМАЗ (или аналог)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16031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16030,8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спецтехники с целью обеспечения надежности теплоснабжения Фронтальный погрузчик XCMG LW300FN (или аналог)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6697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6697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спецтехники с целью обеспечения надежности теплоснабжения Самосвал (или аналог)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13970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13970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6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«Блочно-модульная котельная на твердом топливе, теплопроизводительностью 12 Гкал/ч до 20 Гкал/ч в село Старый Акульшет Тайшетского </w:t>
            </w:r>
            <w:r>
              <w:rPr>
                <w:color w:val="auto"/>
                <w:sz w:val="22"/>
                <w:szCs w:val="22"/>
              </w:rPr>
              <w:t xml:space="preserve">района» новое строительство с целью обеспечения резервного теплоснабжения микрорайона Центральный город Тайшет, а также обеспечение технической возможности технологического присоединения вновь строящихся объектов к тепловым сетям ОП «ТТС» АО «Байкалэнерго»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499633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49633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котельной мощностью 56 Гкал/ч взамен отработавшей нормативный срок котельной № 2 (ШПЗ)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2051704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1921704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блока водогрейных котлов мощностью 50 Гкал/ч с целью обеспечения с целью обеспечения перспективных нагрузок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1925585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1795585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 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Всего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6288999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13617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35551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88423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82295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245867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462875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586137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4582080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192153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</w:tbl>
    <w:p>
      <w:pPr>
        <w:jc w:val="center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jc w:val="center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spacing w:after="200" w:line="276" w:lineRule="auto"/>
        <w:rPr>
          <w:rFonts w:eastAsia="Calibri"/>
          <w:color w:val="auto"/>
          <w:szCs w:val="22"/>
        </w:rPr>
        <w:sectPr>
          <w:footnotePr/>
          <w:endnotePr/>
          <w:type w:val="nextPage"/>
          <w:pgSz w:w="16838" w:h="11906" w:orient="landscape"/>
          <w:pgMar w:top="1701" w:right="851" w:bottom="851" w:left="851" w:header="340" w:footer="0" w:gutter="0"/>
          <w:cols w:num="1" w:sep="0" w:space="708" w:equalWidth="1"/>
          <w:docGrid w:linePitch="360"/>
          <w:titlePg/>
        </w:sectPr>
      </w:pPr>
      <w:r>
        <w:rPr>
          <w:rFonts w:eastAsia="Calibri"/>
          <w:color w:val="auto"/>
          <w:szCs w:val="22"/>
        </w:rPr>
      </w:r>
      <w:r>
        <w:rPr>
          <w:rFonts w:eastAsia="Calibri"/>
          <w:color w:val="auto"/>
          <w:szCs w:val="22"/>
        </w:rPr>
      </w:r>
      <w:r>
        <w:rPr>
          <w:rFonts w:eastAsia="Calibri"/>
          <w:color w:val="auto"/>
          <w:szCs w:val="22"/>
        </w:rPr>
      </w:r>
    </w:p>
    <w:p>
      <w:pPr>
        <w:jc w:val="right"/>
        <w:tabs>
          <w:tab w:val="left" w:pos="0" w:leader="none"/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Таблица 27.1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</w:pPr>
      <w:r>
        <w:t xml:space="preserve">Величина инвестиций для </w:t>
      </w:r>
      <w:r>
        <w:rPr>
          <w:shd w:val="clear" w:color="auto" w:fill="ffffff"/>
        </w:rPr>
        <w:t xml:space="preserve">технического перевооружения модульных источников тепловой энергии</w:t>
      </w:r>
      <w:r>
        <w:t xml:space="preserve"> муниципального образования «Тайшетский район», </w:t>
      </w:r>
      <w:r/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shd w:val="clear" w:color="auto" w:fill="ffffff"/>
        </w:rPr>
      </w:pPr>
      <w:r>
        <w:t xml:space="preserve">расположенных на территории Тайшетского городского поселения</w:t>
      </w:r>
      <w:r>
        <w:rPr>
          <w:shd w:val="clear" w:color="auto" w:fill="ffffff"/>
        </w:rPr>
        <w:t xml:space="preserve">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tbl>
      <w:tblPr>
        <w:tblW w:w="5033" w:type="pct"/>
        <w:tblLayout w:type="fixed"/>
        <w:tblCellMar>
          <w:left w:w="74" w:type="dxa"/>
          <w:top w:w="2" w:type="dxa"/>
          <w:right w:w="82" w:type="dxa"/>
        </w:tblCellMar>
        <w:tblLook w:val="04A0" w:firstRow="1" w:lastRow="0" w:firstColumn="1" w:lastColumn="0" w:noHBand="0" w:noVBand="1"/>
      </w:tblPr>
      <w:tblGrid>
        <w:gridCol w:w="459"/>
        <w:gridCol w:w="1317"/>
        <w:gridCol w:w="5529"/>
        <w:gridCol w:w="708"/>
        <w:gridCol w:w="1560"/>
      </w:tblGrid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3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№ п/п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688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2275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Объект теплоснабжения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8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Описание и основные характеристики мероприятия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Срок реализации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1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Объем инвестиций, рублей (с учетом НДС)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3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688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2275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 11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8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Приобретение, монтаж двух энергосберегающих сетевых насосов; монтаж теплообменного оборудования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2023 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1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574175,0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843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3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688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2275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ab/>
              <w:t xml:space="preserve">МБУДО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«ЦДО «Радуга»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8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Приобретение и монтаж энергосберегающего сетевого насоса; монтаж теплообменного оборудования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2030 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1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361938,0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3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6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 31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8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Приобретение и монтаж двух энергосберегающих сетевых насосов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2026 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1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424463,0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41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39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688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 12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888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Приобретение и монтаж двух энергосберегающих сетевых насосов; монтаж теплообменного оборудования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70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2024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15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504809,0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3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6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 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888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Приобретение и монтаж водогрейного котла 0,63 Гкал/ч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2030 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1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791934,0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3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6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 13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888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Приобретение и монтаж двух энергосберегающих сетевых насосов; монтаж теплообменного оборудования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2024 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1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455268,0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3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6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 14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888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Приобретение и монтаж двух энергосберегающих сетевых насосов; монтаж теплообменного оборудования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2030 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1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504809,0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gridSpan w:val="4"/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418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Итого по муниципальному образованию </w:t>
            </w:r>
            <w:r>
              <w:rPr>
                <w:sz w:val="22"/>
                <w:szCs w:val="22"/>
              </w:rPr>
              <w:t xml:space="preserve">«Тайшетский район»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1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3617396,0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</w:tbl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37" w:name="_Toc149054994"/>
      <w:r>
        <w:rPr>
          <w:bCs/>
          <w:shd w:val="clear" w:color="auto" w:fill="ffffff"/>
        </w:rPr>
        <w:t xml:space="preserve">9.2. Предложения по величине необходимых инвестиций в строительство, реконструкцию, техническое перевооружение и модернизацию тепловых сетей, насосных станций и тепловых пунктов на каждом этапе</w:t>
      </w:r>
      <w:bookmarkEnd w:id="37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tabs>
          <w:tab w:val="left" w:pos="0" w:leader="none"/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С целью повышения эффективности и уровня надежности функционирования </w:t>
      </w:r>
      <w:r>
        <w:rPr>
          <w:bCs/>
          <w:shd w:val="clear" w:color="auto" w:fill="ffffff"/>
        </w:rPr>
        <w:t xml:space="preserve">тепловых сетей, насосных станций и тепловых пунктов величина </w:t>
      </w:r>
      <w:r>
        <w:rPr>
          <w:shd w:val="clear" w:color="auto" w:fill="ffffff"/>
        </w:rPr>
        <w:t xml:space="preserve">необходимых инвестиций на выполнение мероприятий указаны в Таблице 28.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0" w:leader="none"/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Объемы инвестиций определены по укрупненным показателям на основании объектов-аналогов и должны быть уточнены. Для определения точной стоимость проведения работ необходима разработка проектно-сметной документации.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right"/>
        <w:tabs>
          <w:tab w:val="left" w:pos="0" w:leader="none"/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ab/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right"/>
        <w:tabs>
          <w:tab w:val="left" w:pos="0" w:leader="none"/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br w:type="page" w:clear="all"/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right"/>
        <w:tabs>
          <w:tab w:val="left" w:pos="0" w:leader="none"/>
          <w:tab w:val="left" w:pos="567" w:leader="none"/>
          <w:tab w:val="right" w:pos="9923" w:leader="dot"/>
        </w:tabs>
        <w:rPr>
          <w:shd w:val="clear" w:color="auto" w:fill="ffffff"/>
        </w:rPr>
        <w:sectPr>
          <w:footnotePr/>
          <w:endnotePr/>
          <w:type w:val="nextPage"/>
          <w:pgSz w:w="11906" w:h="16838" w:orient="portrait"/>
          <w:pgMar w:top="1134" w:right="851" w:bottom="1134" w:left="1701" w:header="340" w:footer="0" w:gutter="0"/>
          <w:cols w:num="1" w:sep="0" w:space="708" w:equalWidth="1"/>
          <w:docGrid w:linePitch="360"/>
          <w:titlePg/>
        </w:sect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right"/>
        <w:tabs>
          <w:tab w:val="left" w:pos="0" w:leader="none"/>
          <w:tab w:val="left" w:pos="567" w:leader="none"/>
          <w:tab w:val="right" w:pos="9923" w:leader="dot"/>
        </w:tabs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  <w:t xml:space="preserve">Таблица 28</w:t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bCs/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  <w:t xml:space="preserve">Величина инвестиций в строительство, реконструкцию и техническое перевооружение </w:t>
      </w:r>
      <w:r>
        <w:rPr>
          <w:bCs/>
          <w:color w:val="auto"/>
          <w:shd w:val="clear" w:color="auto" w:fill="ffffff"/>
        </w:rPr>
        <w:t xml:space="preserve">тепловых сетей, насосных станций и тепловых пунктов</w:t>
      </w:r>
      <w:r>
        <w:rPr>
          <w:bCs/>
          <w:color w:val="auto"/>
          <w:shd w:val="clear" w:color="auto" w:fill="ffffff"/>
        </w:rPr>
      </w:r>
      <w:r>
        <w:rPr>
          <w:bCs/>
          <w:color w:val="auto"/>
          <w:shd w:val="clear" w:color="auto" w:fill="ffffff"/>
        </w:rPr>
      </w:r>
    </w:p>
    <w:tbl>
      <w:tblPr>
        <w:tblW w:w="15761" w:type="dxa"/>
        <w:tblInd w:w="113" w:type="dxa"/>
        <w:tblLook w:val="04A0" w:firstRow="1" w:lastRow="0" w:firstColumn="1" w:lastColumn="0" w:noHBand="0" w:noVBand="1"/>
      </w:tblPr>
      <w:tblGrid>
        <w:gridCol w:w="704"/>
        <w:gridCol w:w="4241"/>
        <w:gridCol w:w="1195"/>
        <w:gridCol w:w="1088"/>
        <w:gridCol w:w="1462"/>
        <w:gridCol w:w="812"/>
        <w:gridCol w:w="766"/>
        <w:gridCol w:w="996"/>
        <w:gridCol w:w="876"/>
        <w:gridCol w:w="876"/>
        <w:gridCol w:w="993"/>
        <w:gridCol w:w="876"/>
        <w:gridCol w:w="870"/>
        <w:gridCol w:w="6"/>
      </w:tblGrid>
      <w:tr>
        <w:tblPrEx/>
        <w:trPr>
          <w:gridAfter w:val="1"/>
          <w:trHeight w:val="57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№ п/п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Наименование мероприятия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1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Планируемая потребность в финансовых средствах, тыс.рублей без учета НДС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57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Итого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Базовый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none" w:color="000000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Переходный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5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2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Первый 5-летний период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73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Последующие 5-летние периоды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57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2030-2034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2035-2039 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2040-2041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4885" w:type="dxa"/>
            <w:vAlign w:val="center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 Строительство тепловых сетей для обеспечения перспективных приростов тепловой нагрузки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от ТК -12 ТС-7 (инв. № Ю01132096) котельной № 1 до ТК12-2, от ТК-12-2 до границы земельного участка 38:29:011003:29 (микрорайон Центральный).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37189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37189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от ТК-12-2 (проект.) до границы земельного участка 38:29:011003:180 (общеобразовательная школа на 1275 мест). Характеристики уточняются проектом.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20503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19009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1394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котельной № 1 от ТК-9-7 до границы земельного участка 38:29:011001:85 (ОВД) диаметром 133 мм, ориентировочной протяженностью 22 метра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 до границы земельного участка 38:29:000000:46 (Детский сад РУСАЛ))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16468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1468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до границы земельного участка жилого микрорайона «РУСАЛквартАЛ» ООО «РУСАЛ Тайшетский алюминиевый завод» в селе Старый –Акульшет.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136325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5256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131069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 до границы земельного участка 38:29:011001:2076 (Каток РУСАЛ))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12389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2389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45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488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 Строительство тепловых сетей, обеспечивающих условия,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8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Участок тепловой сети от ТК-9 до ТК-9-7, организация перемычки от ТК-9-7 до ТС-12 (инвентарный № Ю0</w:t>
            </w:r>
            <w:r>
              <w:rPr>
                <w:color w:val="auto"/>
                <w:sz w:val="22"/>
                <w:szCs w:val="22"/>
              </w:rPr>
              <w:t xml:space="preserve">1132096). Реконструкция: Строительство тепловой сети диаметром 300мм протяженностью 327 метров от ТК-9-7 ТС-7 котельной № 1 (инвентарный № Ю01132096) до тепловой сети ТС-12 котельной № 2 (инвентарный № Ю01132096) диаметром 300 мм протяженностью 327 метров.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206213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196725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4885" w:type="dxa"/>
            <w:vAlign w:val="center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 Реконструкция тепловых сетей, подлежащих замене в связи с исчерпанием эксплуатационного ресурса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ТС-27 электрокотельной ДТВ ОАО «РЖД» от ТК-40  до жилого дом по улице Осипенко, 2  (инвентарный № Ю01132126) протяженностью 460 метров  с изменением диаметра согласно проектной документации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37747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5297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32450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ТС-6 котельной № 1 от вертикального компенсатора К-7 до К-10 по улице Индустриальной (инвентарный № Ю01132095) диаметром 700 мм протяженностью 291 метр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29557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16413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12082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ТС-6 котельной №1 от вертикального компенсатора К-12 до ТК-3 по улице Индустриальной (инвентарный № Ю01132095) диаметром 700 мм протяженностью 277 метров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24882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13152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10426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от ТК-5-15 до ТК-5-24 по ул. Зои Космодемьянской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41988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13854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26892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ТС-20 котельной № 2 от ТК-11-3 до жилого дома по улице Крупской, 92  (инвентарный № Ю01132119) диаметром 150 мм протяженностью 215 метров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23227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23227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тепловой сети по улице Транспортной от ТК-2 до ТК-3 от котельной №2 (инвентарный № Ю01132108) протяженностью 214 метров, с изменением диаметра с 400 мм до 500 мм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19356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19356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тепловой сети котельной № 2 от ТК3-4 до ТК3-12 по улице Терешковой (ТС-11, инвентарный № Ю01132111)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81272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4556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572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766" w:type="dxa"/>
            <w:vAlign w:val="bottom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36144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ТС-12 от ТК-3-12 до ТК3-18 (инвентарный № Ю01132112) с увеличением диаметра.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46540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6540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тепловой сети котельной № 1 по улице Полевой (частный сектор) диаметром 150 мм протяженностью 159 метров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25787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5787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от котельной № 4 до ТК-3 по улице Новой (инвентарный № Ю01132103) протяженностью 195 метров  с изменением диаметра согласно проектной документации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38140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4140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участков тепловой сети ТС-22 котельной № 2  от ТК-30 до ТК-34 (инвентарный № Ю01132121) диаметром 300 мм протяженностью 175 метров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61795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5795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56000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83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и техническое перевооружение ветхих тепловых сетей в </w:t>
            </w:r>
            <w:r>
              <w:rPr>
                <w:color w:val="auto"/>
                <w:sz w:val="22"/>
                <w:szCs w:val="22"/>
              </w:rPr>
              <w:t xml:space="preserve">объеме 5 %.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2549233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218742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299241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175984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927633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927633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от ТК-6 до ТК-9 котельной № 5 (Совхоз)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30284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bottom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bottom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3028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17256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4885" w:type="dxa"/>
            <w:vAlign w:val="center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 Реконструкция тепловых сетей с увеличением диаметра трубопроводов для обеспечения перспективных приростов тепловой нагрузки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14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4.1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Реконструкция участка тепловой сети ТС-7 котельной № 1  (инв. № Ю01132096) от района П-образного компенсатора К-24 + 54,50 м (секционирующий узел УТ1) до ТК-12 (характеристики уточняются проектом), в т.ч: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281078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67966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72986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25788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20000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85247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4.1.1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ТС-7 от УТ1 до ТК5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105247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85247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4.1.2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ТС-7  от ТК5 до ТК9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105331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6557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72986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25788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4.1.3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ТС-7 от ТК9 до ТК12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70500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61409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ТС-7 от угла поворота сети УП15+5м до района П-образного компенсатора К-24 + 54,50 м (секционирующий узел УТ1)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101069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2706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53551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Установка регулирующих балансировочных клапанов на ответвлениях от магистральных и внутриквартальных трубопроводов.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ТС-6 котельной № 1 от компенсатора К-1 до К-3 (инвентарный № Ю01132095) протяженность и диаметр уточняются проектом.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112594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5848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1646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29830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33056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42214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Установка повышающей насосной станции  в районе тепловой камеры ТК-5 тепловой сети ТС-7 (инвентарный № </w:t>
            </w:r>
            <w:r>
              <w:rPr>
                <w:color w:val="auto"/>
                <w:sz w:val="22"/>
                <w:szCs w:val="22"/>
              </w:rPr>
              <w:t xml:space="preserve">Ю01132096) (при обосновании)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78000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bottom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Итого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4018451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124194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114952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78427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52797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330273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589559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355432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505936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927633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927633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</w:tbl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bCs/>
          <w:color w:val="auto"/>
          <w:shd w:val="clear" w:color="auto" w:fill="ffffff"/>
        </w:rPr>
      </w:pPr>
      <w:r>
        <w:rPr>
          <w:bCs/>
          <w:color w:val="auto"/>
          <w:shd w:val="clear" w:color="auto" w:fill="ffffff"/>
        </w:rPr>
      </w:r>
      <w:r>
        <w:rPr>
          <w:bCs/>
          <w:color w:val="auto"/>
          <w:shd w:val="clear" w:color="auto" w:fill="ffffff"/>
        </w:rPr>
      </w:r>
      <w:r>
        <w:rPr>
          <w:bCs/>
          <w:color w:val="auto"/>
          <w:shd w:val="clear" w:color="auto" w:fill="ffffff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bCs/>
          <w:color w:val="auto"/>
          <w:shd w:val="clear" w:color="auto" w:fill="ffffff"/>
        </w:rPr>
      </w:pPr>
      <w:r>
        <w:rPr>
          <w:bCs/>
          <w:color w:val="auto"/>
          <w:shd w:val="clear" w:color="auto" w:fill="ffffff"/>
        </w:rPr>
      </w:r>
      <w:r>
        <w:rPr>
          <w:bCs/>
          <w:color w:val="auto"/>
          <w:shd w:val="clear" w:color="auto" w:fill="ffffff"/>
        </w:rPr>
      </w:r>
      <w:r>
        <w:rPr>
          <w:bCs/>
          <w:color w:val="auto"/>
          <w:shd w:val="clear" w:color="auto" w:fill="ffffff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color w:val="auto"/>
        </w:rPr>
      </w:pPr>
      <w:r>
        <w:rPr>
          <w:bCs/>
          <w:color w:val="auto"/>
          <w:shd w:val="clear" w:color="auto" w:fill="ffffff"/>
        </w:rPr>
      </w:r>
      <w:r>
        <w:rPr>
          <w:color w:val="auto"/>
        </w:rPr>
      </w:r>
      <w:r>
        <w:rPr>
          <w:color w:val="auto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color w:val="auto"/>
        </w:rPr>
      </w:pPr>
      <w:r>
        <w:rPr>
          <w:color w:val="auto"/>
          <w:shd w:val="clear" w:color="auto" w:fill="ffffff"/>
        </w:rPr>
      </w:r>
      <w:r>
        <w:rPr>
          <w:color w:val="auto"/>
        </w:rPr>
      </w:r>
      <w:r>
        <w:rPr>
          <w:color w:val="auto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color w:val="auto"/>
        </w:rPr>
      </w:pPr>
      <w:r>
        <w:rPr>
          <w:color w:val="auto"/>
          <w:shd w:val="clear" w:color="auto" w:fill="ffffff"/>
        </w:rPr>
      </w:r>
      <w:r>
        <w:rPr>
          <w:color w:val="auto"/>
        </w:rPr>
      </w:r>
      <w:r>
        <w:rPr>
          <w:color w:val="auto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color w:val="auto"/>
        </w:rPr>
      </w:pPr>
      <w:r>
        <w:rPr>
          <w:color w:val="auto"/>
          <w:shd w:val="clear" w:color="auto" w:fill="ffffff"/>
        </w:rPr>
      </w:r>
      <w:r>
        <w:rPr>
          <w:color w:val="auto"/>
        </w:rPr>
      </w:r>
      <w:r>
        <w:rPr>
          <w:color w:val="auto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color w:val="auto"/>
        </w:rPr>
      </w:pPr>
      <w:r>
        <w:rPr>
          <w:color w:val="auto"/>
          <w:shd w:val="clear" w:color="auto" w:fill="ffffff"/>
        </w:rPr>
      </w:r>
      <w:r>
        <w:rPr>
          <w:color w:val="auto"/>
        </w:rPr>
      </w:r>
      <w:r>
        <w:rPr>
          <w:color w:val="auto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color w:val="auto"/>
          <w:shd w:val="clear" w:color="auto" w:fill="ffffff"/>
        </w:rPr>
      </w:pPr>
      <w:r>
        <w:rPr>
          <w:bCs/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bCs/>
          <w:color w:val="auto"/>
          <w:shd w:val="clear" w:color="auto" w:fill="ffffff"/>
        </w:rPr>
      </w:pPr>
      <w:r>
        <w:rPr>
          <w:bCs/>
          <w:color w:val="auto"/>
          <w:shd w:val="clear" w:color="auto" w:fill="ffffff"/>
        </w:rPr>
      </w:r>
      <w:r>
        <w:rPr>
          <w:bCs/>
          <w:color w:val="auto"/>
          <w:shd w:val="clear" w:color="auto" w:fill="ffffff"/>
        </w:rPr>
      </w:r>
      <w:r>
        <w:rPr>
          <w:bCs/>
          <w:color w:val="auto"/>
          <w:shd w:val="clear" w:color="auto" w:fill="ffffff"/>
        </w:rPr>
      </w:r>
    </w:p>
    <w:p>
      <w:pPr>
        <w:jc w:val="center"/>
        <w:rPr>
          <w:color w:val="auto"/>
        </w:rPr>
      </w:pPr>
      <w:r>
        <w:rPr>
          <w:color w:val="auto"/>
        </w:rPr>
        <w:t xml:space="preserve">Сводная величина инвестиций в строительство, реконструкцию и техническое перевооружение источников тепловой энергии, тепловых сетей,</w:t>
      </w:r>
      <w:r>
        <w:rPr>
          <w:bCs/>
          <w:color w:val="auto"/>
          <w:shd w:val="clear" w:color="auto" w:fill="ffffff"/>
        </w:rPr>
        <w:t xml:space="preserve"> насосных станций и тепловых пунктов</w:t>
      </w:r>
      <w:r>
        <w:rPr>
          <w:color w:val="auto"/>
        </w:rPr>
        <w:t xml:space="preserve"> Тайшетского городского поселения</w:t>
      </w:r>
      <w:r>
        <w:rPr>
          <w:color w:val="auto"/>
        </w:rPr>
      </w:r>
      <w:r>
        <w:rPr>
          <w:color w:val="auto"/>
        </w:rPr>
      </w:r>
    </w:p>
    <w:tbl>
      <w:tblPr>
        <w:tblW w:w="15409" w:type="dxa"/>
        <w:tblInd w:w="118" w:type="dxa"/>
        <w:tblLook w:val="04A0" w:firstRow="1" w:lastRow="0" w:firstColumn="1" w:lastColumn="0" w:noHBand="0" w:noVBand="1"/>
      </w:tblPr>
      <w:tblGrid>
        <w:gridCol w:w="3959"/>
        <w:gridCol w:w="1176"/>
        <w:gridCol w:w="992"/>
        <w:gridCol w:w="992"/>
        <w:gridCol w:w="992"/>
        <w:gridCol w:w="993"/>
        <w:gridCol w:w="992"/>
        <w:gridCol w:w="992"/>
        <w:gridCol w:w="1134"/>
        <w:gridCol w:w="1134"/>
        <w:gridCol w:w="1056"/>
        <w:gridCol w:w="997"/>
      </w:tblGrid>
      <w:tr>
        <w:tblPrEx/>
        <w:trPr>
          <w:trHeight w:val="33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395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Наименование показателя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gridSpan w:val="11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000000" w:sz="8" w:space="0"/>
            </w:tcBorders>
            <w:tcW w:w="114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Планируемая потребность в финансовых средствах, тыс.руб.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</w:tr>
      <w:tr>
        <w:tblPrEx/>
        <w:trPr>
          <w:trHeight w:val="330"/>
        </w:trPr>
        <w:tc>
          <w:tcPr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3959" w:type="dxa"/>
            <w:vAlign w:val="center"/>
            <w:vMerge w:val="continue"/>
            <w:textDirection w:val="lrTb"/>
            <w:noWrap w:val="false"/>
          </w:tcPr>
          <w:p>
            <w:pPr>
              <w:rPr>
                <w:bCs/>
                <w:color w:val="ff0000"/>
              </w:rPr>
            </w:pPr>
            <w:r>
              <w:rPr>
                <w:bCs/>
                <w:color w:val="ff0000"/>
              </w:rPr>
            </w:r>
            <w:r>
              <w:rPr>
                <w:bCs/>
                <w:color w:val="ff0000"/>
              </w:rPr>
            </w:r>
            <w:r>
              <w:rPr>
                <w:bCs/>
                <w:color w:val="ff000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76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Всего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2023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2024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2025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2026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2027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2028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2029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2030-2034 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056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2035-2039 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7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2040-2041 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</w:tr>
      <w:tr>
        <w:tblPrEx/>
        <w:trPr>
          <w:trHeight w:val="645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395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 xml:space="preserve">Всего по источникам тепловой энергии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76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6288999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13617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35551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88423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3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82295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245867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462875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34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586137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34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4582080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056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192153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7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3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395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 xml:space="preserve">Всего по тепловым сетям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7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4018451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124194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114952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78427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3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52797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330273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589559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34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355432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34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505936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05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927633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7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927633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45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395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Итого стоимость мероприятий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7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10307450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137811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150503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166850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3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135092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576140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1052434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34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941569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34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5088016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05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1119786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7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927633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</w:tbl>
    <w:p>
      <w:pPr>
        <w:jc w:val="both"/>
        <w:tabs>
          <w:tab w:val="left" w:pos="709" w:leader="none"/>
          <w:tab w:val="right" w:pos="9923" w:leader="dot"/>
        </w:tabs>
        <w:rPr>
          <w:rFonts w:eastAsiaTheme="minorEastAsia"/>
        </w:rPr>
        <w:sectPr>
          <w:footnotePr/>
          <w:endnotePr/>
          <w:type w:val="nextPage"/>
          <w:pgSz w:w="16838" w:h="11906" w:orient="landscape"/>
          <w:pgMar w:top="851" w:right="851" w:bottom="851" w:left="851" w:header="340" w:footer="0" w:gutter="0"/>
          <w:cols w:num="1" w:sep="0" w:space="708" w:equalWidth="1"/>
          <w:docGrid w:linePitch="360"/>
          <w:titlePg/>
        </w:sectPr>
      </w:pPr>
      <w:r>
        <w:rPr>
          <w:rFonts w:eastAsiaTheme="minorEastAsia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bCs/>
        </w:rPr>
      </w:pPr>
      <w:r/>
      <w:bookmarkStart w:id="38" w:name="_Toc149054995"/>
      <w:r>
        <w:rPr>
          <w:bCs/>
        </w:rPr>
        <w:t xml:space="preserve">9.3. Предложения по величине инвестиций в строительство, реконструкцию, техническое перевооружение и модернизацию в связи с изменениями температурного графика и гидравлического режима работы системы теплоснабжения на каждом этапе</w:t>
      </w:r>
      <w:bookmarkEnd w:id="38"/>
      <w:r>
        <w:rPr>
          <w:bCs/>
        </w:rPr>
        <w:t xml:space="preserve">.</w:t>
      </w:r>
      <w:r>
        <w:rPr>
          <w:bCs/>
        </w:rPr>
      </w:r>
      <w:r>
        <w:rPr>
          <w:bCs/>
        </w:rPr>
      </w:r>
    </w:p>
    <w:p>
      <w:pPr>
        <w:ind w:firstLine="709"/>
        <w:jc w:val="both"/>
        <w:tabs>
          <w:tab w:val="left" w:pos="0" w:leader="none"/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Изменение температурных графиков и гидравлических режимов </w:t>
      </w:r>
      <w:r>
        <w:rPr>
          <w:rFonts w:eastAsia="Calibri"/>
          <w:lang w:eastAsia="en-US"/>
        </w:rPr>
        <w:t xml:space="preserve">муниципальных котельных Тайшетского </w:t>
      </w:r>
      <w:r>
        <w:rPr>
          <w:rFonts w:eastAsia="Calibri"/>
          <w:lang w:eastAsia="en-US"/>
        </w:rPr>
        <w:t xml:space="preserve">городского поселения </w:t>
      </w:r>
      <w:r>
        <w:rPr>
          <w:shd w:val="clear" w:color="auto" w:fill="ffffff"/>
        </w:rPr>
        <w:t xml:space="preserve">не прогнозируется.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0" w:leader="none"/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Вложение инвестиций в строительство, реконструкцию, техническое перевооружение и модернизацию в связи с изменениями температурных графиков и гидравлических режимов работы систем теплоснабжения </w:t>
      </w:r>
      <w:r>
        <w:rPr>
          <w:rFonts w:eastAsia="Calibri"/>
          <w:lang w:eastAsia="en-US"/>
        </w:rPr>
        <w:t xml:space="preserve">муниципальных котельных Тайшетского городского поселения </w:t>
      </w:r>
      <w:r>
        <w:rPr>
          <w:shd w:val="clear" w:color="auto" w:fill="ffffff"/>
        </w:rPr>
        <w:t xml:space="preserve">не прогнозируется.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39" w:name="_Toc149054996"/>
      <w:r>
        <w:rPr>
          <w:bCs/>
          <w:shd w:val="clear" w:color="auto" w:fill="ffffff"/>
        </w:rPr>
        <w:t xml:space="preserve">9.4. Предложения по величине необходимых инвестиций для перевода открытой системы теплоснабжения (горячего </w:t>
      </w:r>
      <w:r>
        <w:rPr>
          <w:bCs/>
        </w:rPr>
        <w:t xml:space="preserve">водоснабжения</w:t>
      </w:r>
      <w:r>
        <w:rPr>
          <w:bCs/>
          <w:shd w:val="clear" w:color="auto" w:fill="ffffff"/>
        </w:rPr>
        <w:t xml:space="preserve">) в закрытую систему горячего водоснабжения на каждом этапе</w:t>
      </w:r>
      <w:bookmarkEnd w:id="39"/>
      <w:r>
        <w:rPr>
          <w:bCs/>
          <w:shd w:val="clear" w:color="auto" w:fill="ffffff"/>
        </w:rPr>
        <w:t xml:space="preserve">.</w:t>
      </w:r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="Calibri"/>
          <w:szCs w:val="22"/>
          <w:lang w:eastAsia="en-US"/>
        </w:rPr>
      </w:pPr>
      <w:r>
        <w:rPr>
          <w:shd w:val="clear" w:color="auto" w:fill="ffffff"/>
        </w:rPr>
        <w:t xml:space="preserve">По состоянию на отчетный (базовый) 202</w:t>
      </w:r>
      <w:r>
        <w:rPr>
          <w:shd w:val="clear" w:color="auto" w:fill="ffffff"/>
        </w:rPr>
        <w:t xml:space="preserve">4</w:t>
      </w:r>
      <w:r>
        <w:rPr>
          <w:shd w:val="clear" w:color="auto" w:fill="ffffff"/>
        </w:rPr>
        <w:t xml:space="preserve"> год системы теплоснабжения </w:t>
      </w:r>
      <w:r>
        <w:rPr>
          <w:rFonts w:eastAsia="Calibri"/>
          <w:lang w:eastAsia="en-US"/>
        </w:rPr>
        <w:t xml:space="preserve">муниципальных котельных Тайшетского городского поселения являются закрытыми системами теплоснабжения, кроме котельной №1 – </w:t>
      </w:r>
      <w:r>
        <w:rPr>
          <w:rFonts w:eastAsia="Calibri"/>
          <w:szCs w:val="22"/>
          <w:lang w:eastAsia="en-US"/>
        </w:rPr>
        <w:t xml:space="preserve">система открытая.</w:t>
      </w:r>
      <w:r>
        <w:rPr>
          <w:rFonts w:eastAsia="Calibri"/>
          <w:szCs w:val="22"/>
          <w:lang w:eastAsia="en-US"/>
        </w:rPr>
      </w:r>
      <w:r>
        <w:rPr>
          <w:rFonts w:eastAsia="Calibri"/>
          <w:szCs w:val="22"/>
          <w:lang w:eastAsia="en-US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Все мероприятия по переводу на закрытую систему ГВС предполагают выполнить путем строительства индивидуальных тепловых пунктов у потребителей, в связи с чем, планируемые мероприятия будут реализованы с привлечением средств: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1. Многоквартирные жилые дома - за счет программ капитального (текущего) ремонта, за счет средств собственников помещений в доме.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2. Потребители бюджетной сферы - за счет бюджетов соответствующих уровней (федеральный, областной, муниципальный).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3. Остальные потребители – хозяйствующие субъекты за счет собственных средств.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widowControl w:val="off"/>
        <w:tabs>
          <w:tab w:val="left" w:pos="0" w:leader="none"/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Вложение инвестиций для перевода открытых систем теплоснабжения (горячего водоснабжения) на </w:t>
      </w:r>
      <w:r>
        <w:rPr>
          <w:rFonts w:eastAsia="Calibri"/>
          <w:lang w:eastAsia="en-US"/>
        </w:rPr>
        <w:t xml:space="preserve">муниципальных котельных Тайшетского городского поселения</w:t>
      </w:r>
      <w:r>
        <w:rPr>
          <w:shd w:val="clear" w:color="auto" w:fill="ffffff"/>
        </w:rPr>
        <w:t xml:space="preserve"> в закрытые системы горячего водоснабжения не прогнозируется.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Расчет потребности инвестиций для перевода открытой системы теплоснабжения</w:t>
      </w:r>
      <w:r>
        <w:rPr>
          <w:rFonts w:eastAsiaTheme="minorHAnsi"/>
          <w:lang w:eastAsia="en-US"/>
        </w:rPr>
        <w:br/>
        <w:t xml:space="preserve">(горячего водоснабжения) в закрытую систему горячего </w:t>
      </w:r>
      <w:r>
        <w:rPr>
          <w:rFonts w:eastAsiaTheme="minorHAnsi"/>
          <w:lang w:eastAsia="en-US"/>
        </w:rPr>
        <w:t xml:space="preserve">водоснабжения  в многоквартирных домках может быть осуществлен по результатам комплексного технико-эконмического сравнения вариантов реализации перехода на закрытую схему ГВС с учетом капитальных и операционных затрат в сфере водоснабжения и водоотведения.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настоящее время схема водоснабжения и водоотведения Тайшетского городс</w:t>
      </w:r>
      <w:r>
        <w:rPr>
          <w:rFonts w:eastAsiaTheme="minorHAnsi"/>
          <w:lang w:eastAsia="en-US"/>
        </w:rPr>
        <w:t xml:space="preserve">кого поселения находится в стадии разработки. Таким образом, определить объем необходимых инвестиций для перевода потребителей с открытой системы теплоснабжения (горячего водоснабжения) в закрытую систему горячего водоснабжения не представляется возможным.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asciiTheme="minorHAnsi" w:hAnsiTheme="minorHAnsi" w:eastAsiaTheme="minorHAnsi" w:cstheme="minorBidi"/>
          <w:sz w:val="22"/>
          <w:szCs w:val="22"/>
          <w:lang w:eastAsia="en-US"/>
        </w:rPr>
      </w:pPr>
      <w:r>
        <w:rPr>
          <w:rFonts w:eastAsiaTheme="minorEastAsia"/>
        </w:rPr>
        <w:t xml:space="preserve">Принимая во внимание то, что с 1 января 2022 года вступил в силу Федеральный закон Российской Федерации от 30 декабря 2021 года №438-ФЗ «О внесении изменений в Федеральный закон «О теплоснабжении», которым </w:t>
      </w:r>
      <w:r>
        <w:t xml:space="preserve">с 1 января 2022 года </w:t>
      </w:r>
      <w:r>
        <w:rPr>
          <w:rFonts w:eastAsiaTheme="minorHAnsi"/>
          <w:lang w:eastAsia="en-US"/>
        </w:rPr>
        <w:t xml:space="preserve">отменяется обязательное переоборудование открытых систем горячего водоснабжения в закрытые, </w:t>
      </w:r>
      <w:r>
        <w:rPr>
          <w:rFonts w:eastAsiaTheme="minorEastAsia"/>
        </w:rPr>
        <w:t xml:space="preserve">решения </w:t>
      </w:r>
      <w:r>
        <w:rPr>
          <w:bCs/>
          <w:shd w:val="clear" w:color="auto" w:fill="ffffff"/>
        </w:rPr>
        <w:t xml:space="preserve">по величине необходимых инвестиций для перевода открытой системы теплоснабжения (горячего </w:t>
      </w:r>
      <w:r>
        <w:rPr>
          <w:bCs/>
        </w:rPr>
        <w:t xml:space="preserve">водоснабжения</w:t>
      </w:r>
      <w:r>
        <w:rPr>
          <w:bCs/>
          <w:shd w:val="clear" w:color="auto" w:fill="ffffff"/>
        </w:rPr>
        <w:t xml:space="preserve">) в закрытую систему горячего водоснабжения</w:t>
      </w:r>
      <w:r>
        <w:rPr>
          <w:rFonts w:eastAsiaTheme="minorEastAsia"/>
        </w:rPr>
        <w:t xml:space="preserve"> подлежат разработке и оценке, возможно при выполнении следующих актуализаций схемы теплоснабжения.</w:t>
      </w:r>
      <w:r>
        <w:rPr>
          <w:rFonts w:asciiTheme="minorHAnsi" w:hAnsiTheme="minorHAnsi" w:eastAsiaTheme="minorHAnsi" w:cstheme="minorBidi"/>
          <w:sz w:val="22"/>
          <w:szCs w:val="22"/>
          <w:lang w:eastAsia="en-US"/>
        </w:rPr>
      </w:r>
      <w:r>
        <w:rPr>
          <w:rFonts w:asciiTheme="minorHAnsi" w:hAnsiTheme="minorHAnsi" w:eastAsiaTheme="minorHAnsi" w:cstheme="minorBidi"/>
          <w:sz w:val="22"/>
          <w:szCs w:val="22"/>
          <w:lang w:eastAsia="en-US"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40" w:name="_Toc149054997"/>
      <w:r>
        <w:rPr>
          <w:bCs/>
          <w:shd w:val="clear" w:color="auto" w:fill="ffffff"/>
        </w:rPr>
        <w:t xml:space="preserve">9.5. Оценка эффективности инвестиций по отдельным предложениям</w:t>
      </w:r>
      <w:bookmarkEnd w:id="40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="Calibri"/>
          <w:lang w:eastAsia="en-US"/>
        </w:rPr>
      </w:pPr>
      <w:r>
        <w:rPr>
          <w:shd w:val="clear" w:color="auto" w:fill="ffffff"/>
        </w:rPr>
        <w:t xml:space="preserve">Вложение инвестиций на реализацию запланированных мероприятий по техническому перевооружению, модернизации </w:t>
      </w:r>
      <w:r>
        <w:rPr>
          <w:rFonts w:eastAsia="Calibri"/>
          <w:lang w:eastAsia="en-US"/>
        </w:rPr>
        <w:t xml:space="preserve">муниципальных котельных Тайшетского городского поселения и реконструкции тепловых сетей позволит </w:t>
      </w:r>
      <w:r>
        <w:rPr>
          <w:shd w:val="clear" w:color="auto" w:fill="ffffff"/>
        </w:rPr>
        <w:t xml:space="preserve">повысить эффективность и уровень надежности функционирования систем теплоснабжения </w:t>
      </w:r>
      <w:r>
        <w:rPr>
          <w:rFonts w:eastAsia="Calibri"/>
          <w:lang w:eastAsia="en-US"/>
        </w:rPr>
        <w:t xml:space="preserve">муниципальных котельных</w:t>
      </w:r>
      <w:r>
        <w:rPr>
          <w:shd w:val="clear" w:color="auto" w:fill="ffffff"/>
        </w:rPr>
        <w:t xml:space="preserve">, снизить потери тепловой энергии при передаче тепловой энергии потребителям, оптимизировать финансовые затраты на производство котельными тепловой энергии.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center"/>
        <w:rPr>
          <w:bCs/>
          <w:caps/>
          <w:szCs w:val="26"/>
        </w:rPr>
      </w:pPr>
      <w:r/>
      <w:bookmarkStart w:id="41" w:name="_Toc149054998"/>
      <w:r>
        <w:rPr>
          <w:bCs/>
          <w:caps/>
          <w:szCs w:val="26"/>
        </w:rPr>
        <w:t xml:space="preserve">РАЗДЕЛ 10. РЕШЕНИЕ О ПРИСВОЕНИИ СТАТУСА ЕДИНОЙ ТЕПЛОСНАБЖАЮЩЕЙ ОРГАНИЗАЦИИ</w:t>
      </w:r>
      <w:bookmarkEnd w:id="41"/>
      <w:r>
        <w:rPr>
          <w:bCs/>
          <w:caps/>
          <w:szCs w:val="26"/>
        </w:rPr>
      </w:r>
      <w:r>
        <w:rPr>
          <w:bCs/>
          <w:caps/>
          <w:szCs w:val="26"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42" w:name="_Toc149054999"/>
      <w:r>
        <w:rPr>
          <w:bCs/>
        </w:rPr>
        <w:t xml:space="preserve">10.1. </w:t>
      </w:r>
      <w:r>
        <w:rPr>
          <w:bCs/>
          <w:shd w:val="clear" w:color="auto" w:fill="ffffff"/>
        </w:rPr>
        <w:t xml:space="preserve">Решение о присвоении статуса единой теплоснабжающей организации</w:t>
      </w:r>
      <w:bookmarkEnd w:id="42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tabs>
          <w:tab w:val="left" w:pos="709" w:leader="none"/>
          <w:tab w:val="left" w:pos="1276" w:leader="none"/>
          <w:tab w:val="left" w:pos="1418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Решение о присвоении статуса единой теплоснабжающей организации Тайшетского городского поселения по состоянию на отчетный (базовый) 202</w:t>
      </w:r>
      <w:r>
        <w:rPr>
          <w:shd w:val="clear" w:color="auto" w:fill="ffffff"/>
        </w:rPr>
        <w:t xml:space="preserve">4</w:t>
      </w:r>
      <w:r>
        <w:rPr>
          <w:shd w:val="clear" w:color="auto" w:fill="ffffff"/>
        </w:rPr>
        <w:t xml:space="preserve"> год для зон теплоснабжения №1, №2, №3, №4, №5 принято в отношении акционерного общества «Байкалэнерго» (ОГРН 1043801024630, ИНН 3808108339, КПП 381201001, юридический адрес: 664043, Иркутская область, город Иркутск, бульвар Рябикова, дом 67).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709" w:leader="none"/>
          <w:tab w:val="left" w:pos="1276" w:leader="none"/>
          <w:tab w:val="left" w:pos="1418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Для зоны теплоснабжения №6 решение о присвоении статуса единой теплоснабжающей</w:t>
      </w:r>
      <w:r>
        <w:rPr>
          <w:shd w:val="clear" w:color="auto" w:fill="ffffff"/>
        </w:rPr>
        <w:t xml:space="preserve"> организации принято в отношении Тайшетского территориального участка Восточно-Сибирской дирекции тепловодоснабжения филиала открытого акционерного общества «Российские железные дороги» (ОГРН 1037739877295, ИНН 7708503727, КПП 770801001, юридический адрес:</w:t>
      </w:r>
      <w:r>
        <w:rPr>
          <w:rFonts w:eastAsia="Calibri"/>
          <w:szCs w:val="22"/>
          <w:lang w:eastAsia="en-US"/>
        </w:rPr>
        <w:t xml:space="preserve"> </w:t>
      </w:r>
      <w:r>
        <w:rPr>
          <w:shd w:val="clear" w:color="auto" w:fill="ffffff"/>
        </w:rPr>
        <w:t xml:space="preserve">107174, город Москва,  Муниципальный Округ Басманный, улица Новая Басманная, дом 2/1 строение 1, фактический адрес 665001, город Тайшет, улица Транспортная, дом 14).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709" w:leader="none"/>
          <w:tab w:val="left" w:pos="1276" w:leader="none"/>
          <w:tab w:val="left" w:pos="1418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Для зоны теплоснабжения №7 решение о присвоении статуса единой теплоснабжающей организации принято в отношении филиала ОАО «ИЭСК» «Западные электрические сети» (ОГРН 1093850013762, ИНН 3812122706, КПП 381201001, юридический адрес:</w:t>
      </w:r>
      <w:r>
        <w:rPr>
          <w:rFonts w:eastAsia="Calibri"/>
          <w:szCs w:val="22"/>
          <w:lang w:eastAsia="en-US"/>
        </w:rPr>
        <w:t xml:space="preserve"> </w:t>
      </w:r>
      <w:r>
        <w:rPr>
          <w:shd w:val="clear" w:color="auto" w:fill="ffffff"/>
        </w:rPr>
        <w:t xml:space="preserve">664033, Иркутская область, город Иркутск, улица Лермонтова, дом 257, фактический адрес: 665002, город Тайшет, улица Энергетиков, дом 20, подстанция Тайшет-500.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keepLines/>
        <w:keepNext/>
        <w:widowControl w:val="off"/>
        <w:rPr>
          <w:bCs/>
        </w:rPr>
      </w:pPr>
      <w:r/>
      <w:bookmarkStart w:id="43" w:name="_Toc149055000"/>
      <w:r>
        <w:rPr>
          <w:bCs/>
        </w:rPr>
        <w:t xml:space="preserve">10.2. Реестр зон деятельности единой теплоснабжающей организации</w:t>
      </w:r>
      <w:bookmarkEnd w:id="43"/>
      <w:r>
        <w:rPr>
          <w:bCs/>
        </w:rPr>
      </w:r>
      <w:r>
        <w:rPr>
          <w:bCs/>
        </w:rPr>
      </w:r>
    </w:p>
    <w:p>
      <w:pPr>
        <w:ind w:firstLine="709"/>
        <w:jc w:val="both"/>
        <w:tabs>
          <w:tab w:val="left" w:pos="709" w:leader="none"/>
          <w:tab w:val="left" w:pos="1276" w:leader="none"/>
          <w:tab w:val="left" w:pos="1418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В соответствии с </w:t>
      </w:r>
      <w:r>
        <w:rPr>
          <w:rFonts w:eastAsia="Calibri"/>
          <w:lang w:eastAsia="en-US"/>
        </w:rPr>
        <w:t xml:space="preserve">постановлением Правительства РФ от 8 августа 2012 года № 808 «Об организации теплоснабжения в Российской Федерации и о внесении изменений в некоторые акты Правительства Российской Федерации»</w:t>
      </w:r>
      <w:r>
        <w:rPr>
          <w:shd w:val="clear" w:color="auto" w:fill="ffffff"/>
        </w:rPr>
        <w:t xml:space="preserve"> Тайшетское городское поселение разделено на зоны деятельности единой теплоснабжающей организации: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</w:pPr>
      <w:r>
        <w:t xml:space="preserve">1) Зона №1 - котельная №1 (ТКСИ) является основным поставщиком тепловой энергии микрорайонов Новый, имени Пахотищева, имени Мясникова, </w:t>
      </w:r>
      <w:r>
        <w:rPr>
          <w:rFonts w:eastAsiaTheme="minorHAnsi"/>
          <w:lang w:eastAsia="en-US"/>
        </w:rPr>
        <w:t xml:space="preserve">село Старый Акульшет, микрорайон Солнечный, улицы Индустриальная и Архитекторов, а также </w:t>
      </w:r>
      <w:r>
        <w:t xml:space="preserve">часть улиц в Северном районе.</w:t>
      </w:r>
      <w:r/>
    </w:p>
    <w:p>
      <w:pPr>
        <w:ind w:firstLine="709"/>
        <w:jc w:val="both"/>
      </w:pPr>
      <w:r>
        <w:t xml:space="preserve">2) Зона №2 - котельная №2 (ШПЗ) поставляет тепловую энергию потребителям, расположенным от ручья Крутенький в Центральном районе, жилой район 51 квартала в Северо-Западном районе города. С Южной стороны зона действия ограничена железной дорогой.</w:t>
      </w:r>
      <w:r/>
    </w:p>
    <w:p>
      <w:pPr>
        <w:ind w:firstLine="709"/>
        <w:jc w:val="both"/>
      </w:pPr>
      <w:r>
        <w:t xml:space="preserve">3) Зона №3 - котельная №3 (Мелькомбинат) осуществляет теплоснабжение южной части города в районе улиц Пушкина, Ленина, Воинов интернационалистов, Комсомольской, Свердлова.</w:t>
      </w:r>
      <w:r/>
    </w:p>
    <w:p>
      <w:pPr>
        <w:ind w:firstLine="709"/>
        <w:jc w:val="both"/>
      </w:pPr>
      <w:r>
        <w:t xml:space="preserve">4) Зона №4 - котельная №4 (Экспедиция №5) осуществляет теплоснабжение южной части города в районе улиц Тимирязева, 19-го Партсъезда, Советской.</w:t>
      </w:r>
      <w:r/>
    </w:p>
    <w:p>
      <w:pPr>
        <w:ind w:firstLine="709"/>
        <w:jc w:val="both"/>
      </w:pPr>
      <w:r>
        <w:t xml:space="preserve">5) Зона №5 - котельная №5 (Совхоз) снабжает теплом часть жилищного фонда в Северном районе города по улицам Капустина, Северной и Ключевой.</w:t>
      </w:r>
      <w:r/>
    </w:p>
    <w:p>
      <w:pPr>
        <w:ind w:firstLine="709"/>
        <w:jc w:val="both"/>
      </w:pPr>
      <w:r>
        <w:t xml:space="preserve">6) Зона №6 - электрокотельная ДТВ ОАО «РЖД» осуществляет теплоснабжение объектов ОАО «РЖД», многоквартирного дома №2 по улице Осипенко и четыре дома индивидуального жилищного сектора по улице Дарвина и улице Пугачева.</w:t>
      </w:r>
      <w:r/>
    </w:p>
    <w:p>
      <w:pPr>
        <w:ind w:firstLine="709"/>
        <w:jc w:val="both"/>
      </w:pPr>
      <w:r>
        <w:t xml:space="preserve">7) Зона №7 - электрокотельная ПС-500 осуществляет теплоснабжение объектов по улице Энергетиков.</w:t>
      </w:r>
      <w:r/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44" w:name="_Toc149055001"/>
      <w:r>
        <w:rPr>
          <w:bCs/>
          <w:shd w:val="clear" w:color="auto" w:fill="ffffff"/>
        </w:rPr>
        <w:t xml:space="preserve">10.3. Основания, </w:t>
      </w:r>
      <w:r>
        <w:rPr>
          <w:bCs/>
        </w:rPr>
        <w:t xml:space="preserve">критерии</w:t>
      </w:r>
      <w:r>
        <w:rPr>
          <w:bCs/>
          <w:shd w:val="clear" w:color="auto" w:fill="ffffff"/>
        </w:rPr>
        <w:t xml:space="preserve">, в соответствии с которыми теплоснабжающей организации присвоен статус единой теплоснабжающей организации</w:t>
      </w:r>
      <w:bookmarkEnd w:id="44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В соответствии с </w:t>
      </w:r>
      <w:r>
        <w:rPr>
          <w:rFonts w:eastAsia="Calibri"/>
          <w:lang w:eastAsia="en-US"/>
        </w:rPr>
        <w:t xml:space="preserve">Постановлением Правительства Российской Федерации от 8 августа 2012 года № 808 «Об организации теплоснабжения в Российской Федерации и о внесении изменений в некоторые акты Правительства Российской Федерации»</w:t>
      </w:r>
      <w:r>
        <w:rPr>
          <w:shd w:val="clear" w:color="auto" w:fill="ffffff"/>
        </w:rPr>
        <w:t xml:space="preserve">, критериями определения единой теплоснабжающей организации являются: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contextualSpacing/>
        <w:ind w:firstLine="709"/>
        <w:jc w:val="both"/>
        <w:widowControl w:val="off"/>
        <w:rPr>
          <w:shd w:val="clear" w:color="auto" w:fill="ffffff"/>
        </w:rPr>
      </w:pPr>
      <w:r>
        <w:rPr>
          <w:shd w:val="clear" w:color="auto" w:fill="ffffff"/>
        </w:rPr>
        <w:t xml:space="preserve">1. Владение на праве собственности или ином законном основании источниками тепловой энергии с наибольшей рабочей тепловой мощностью и (или) тепловыми сетями с наибольшей емкостью в границах зоны деятельности единой теплоснабжающей организации;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contextualSpacing/>
        <w:ind w:firstLine="709"/>
        <w:jc w:val="both"/>
        <w:widowControl w:val="off"/>
        <w:rPr>
          <w:shd w:val="clear" w:color="auto" w:fill="ffffff"/>
        </w:rPr>
      </w:pPr>
      <w:r>
        <w:rPr>
          <w:shd w:val="clear" w:color="auto" w:fill="ffffff"/>
        </w:rPr>
        <w:t xml:space="preserve">2. Размер собственного капитала;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contextualSpacing/>
        <w:ind w:firstLine="709"/>
        <w:jc w:val="both"/>
        <w:widowControl w:val="off"/>
        <w:rPr>
          <w:shd w:val="clear" w:color="auto" w:fill="ffffff"/>
        </w:rPr>
      </w:pPr>
      <w:r>
        <w:rPr>
          <w:shd w:val="clear" w:color="auto" w:fill="ffffff"/>
        </w:rPr>
        <w:t xml:space="preserve">3. Способность в лучшей мере обеспечить надежность теплоснабжения в соответствующей системе теплоснабжения.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shd w:val="clear" w:color="auto" w:fill="ffffff"/>
        </w:rPr>
      </w:pPr>
      <w:r>
        <w:rPr>
          <w:shd w:val="clear" w:color="auto" w:fill="ffffff"/>
        </w:rPr>
        <w:t xml:space="preserve">На дату разработки схемы теплоснабжения Тайшетского городского поселения функции единой теплоснабжающей организации выполняют: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shd w:val="clear" w:color="auto" w:fill="ffffff"/>
        </w:rPr>
      </w:pPr>
      <w:r>
        <w:rPr>
          <w:shd w:val="clear" w:color="auto" w:fill="ffffff"/>
        </w:rPr>
        <w:t xml:space="preserve">В границах зон с №1 по №5 – АО «Байкалэнерго»;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shd w:val="clear" w:color="auto" w:fill="ffffff"/>
        </w:rPr>
      </w:pPr>
      <w:r>
        <w:rPr>
          <w:shd w:val="clear" w:color="auto" w:fill="ffffff"/>
        </w:rPr>
        <w:t xml:space="preserve">В границе зоны №6 – Тайшетский территориальный участок Восточно-Сибирской дирекции по тепловодоснабжению – филиала ОАО «Российские железные дороги»;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shd w:val="clear" w:color="auto" w:fill="ffffff"/>
        </w:rPr>
      </w:pPr>
      <w:r>
        <w:rPr>
          <w:shd w:val="clear" w:color="auto" w:fill="ffffff"/>
        </w:rPr>
        <w:t xml:space="preserve">В границе зоны №7 –филиал ОАО «ИЭСК» «Западные электрические сети».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shd w:val="clear" w:color="auto" w:fill="ffffff"/>
        </w:rPr>
      </w:pPr>
      <w:r>
        <w:rPr>
          <w:shd w:val="clear" w:color="auto" w:fill="ffffff"/>
        </w:rPr>
        <w:t xml:space="preserve">АО «Байкалэнерго», Тайшетский территориальный участок Восточно-Сиб</w:t>
      </w:r>
      <w:r>
        <w:rPr>
          <w:shd w:val="clear" w:color="auto" w:fill="ffffff"/>
        </w:rPr>
        <w:t xml:space="preserve">ирской дирекции по тепловодоснабжению - филиала ОАО «Российские железные дороги», ОАО «Иркутская электросетевая компания» филиал ОАО «ИЭСК» «Западные электрические сети» отвечают всем требованиям критериев по определению единой теплоснабжающей организации.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shd w:val="clear" w:color="auto" w:fill="ffffff"/>
        </w:rPr>
      </w:pPr>
      <w:r>
        <w:rPr>
          <w:shd w:val="clear" w:color="auto" w:fill="ffffff"/>
        </w:rPr>
        <w:t xml:space="preserve">АО «Байкалэнерго - владение на праве договора концессии источниками тепловой энергии с наиб</w:t>
      </w:r>
      <w:r>
        <w:rPr>
          <w:shd w:val="clear" w:color="auto" w:fill="ffffff"/>
        </w:rPr>
        <w:t xml:space="preserve">ольшей совокупной установленной тепловой мощностью в границах зоны деятельности единой теплоснабжающей организации и тепловыми сетями, к которым непосредственно подключены источники тепловой энергии с наибольшей совокупной установленной тепловой мощностью.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shd w:val="clear" w:color="auto" w:fill="ffffff"/>
        </w:rPr>
      </w:pPr>
      <w:r>
        <w:rPr>
          <w:shd w:val="clear" w:color="auto" w:fill="ffffff"/>
        </w:rPr>
        <w:t xml:space="preserve">АО «Байкалэнерго способна в лучшей мере обеспечить надежность теплоснабжения в совокупной системе теплоснабжения.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shd w:val="clear" w:color="auto" w:fill="ffffff"/>
        </w:rPr>
      </w:pPr>
      <w:r>
        <w:rPr>
          <w:shd w:val="clear" w:color="auto" w:fill="ffffff"/>
        </w:rPr>
        <w:t xml:space="preserve">Способность обеспечить надежность теплоснабжения определяется наличием у предприятия технических возможностей и квалифицированного персонала по наладке, мониторингу, диспетчеризации, переключениям и оперативному управлению гидравлическими режимами.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shd w:val="clear" w:color="auto" w:fill="ffffff"/>
        </w:rPr>
      </w:pPr>
      <w:r>
        <w:rPr>
          <w:shd w:val="clear" w:color="auto" w:fill="ffffff"/>
        </w:rPr>
        <w:t xml:space="preserve">АО «Байкалэнерго» согласно критериям по определению единой теплоснабжающей организации при осуществлении своей деятельности исполняет обязанности единой теплоснабжающей организации в полной мере, а именно: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shd w:val="clear" w:color="auto" w:fill="ffffff"/>
        </w:rPr>
      </w:pPr>
      <w:r>
        <w:rPr>
          <w:shd w:val="clear" w:color="auto" w:fill="ffffff"/>
        </w:rPr>
        <w:t xml:space="preserve">а) заключает и надлежаще исполняет договоры теплоснабжения со всеми обратившимися к ней потребителями тепловой энергии в своей зоне деятельности;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shd w:val="clear" w:color="auto" w:fill="ffffff"/>
        </w:rPr>
      </w:pPr>
      <w:r>
        <w:rPr>
          <w:shd w:val="clear" w:color="auto" w:fill="ffffff"/>
        </w:rPr>
        <w:t xml:space="preserve">б) надлежащим образом исполняет обязательства перед иными теплоснабжающими и теплосетевыми организациями в зоне деятельности;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shd w:val="clear" w:color="auto" w:fill="ffffff"/>
        </w:rPr>
      </w:pPr>
      <w:r>
        <w:rPr>
          <w:shd w:val="clear" w:color="auto" w:fill="ffffff"/>
        </w:rPr>
        <w:t xml:space="preserve">в) осуществляет контроль режимов потребления тепловой энергии в зоне своей деятельности;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shd w:val="clear" w:color="auto" w:fill="ffffff"/>
        </w:rPr>
      </w:pPr>
      <w:r>
        <w:rPr>
          <w:shd w:val="clear" w:color="auto" w:fill="ffffff"/>
        </w:rPr>
        <w:t xml:space="preserve">г) осуществляет мониторинг реализации схемы теплоснабжения и подает в уполномоченный орган, утвердивший схему теплоснабжения, отчеты о реализации, включая предложения по актуализации схемы теплоснабжения.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shd w:val="clear" w:color="auto" w:fill="ffffff"/>
        </w:rPr>
      </w:pPr>
      <w:r>
        <w:rPr>
          <w:shd w:val="clear" w:color="auto" w:fill="ffffff"/>
        </w:rPr>
        <w:t xml:space="preserve">Тайшетский территориальный участок Восточно-</w:t>
      </w:r>
      <w:r>
        <w:rPr>
          <w:shd w:val="clear" w:color="auto" w:fill="ffffff"/>
        </w:rPr>
        <w:t xml:space="preserve">Сибирской дирекции по тепловодоснабжению – филиала ОАО «Российские железные дороги», ОАО «Иркутская электросетевая компания» филиал ОАО «ИЭСК» «Западные электрические сети» соответственно так же отвечают всем требованиям в границах зоны своей деятельности.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709" w:leader="none"/>
          <w:tab w:val="left" w:pos="1276" w:leader="none"/>
          <w:tab w:val="left" w:pos="1418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Границы зон деятельности единых теплоснабжающих организаций не изменялись.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709" w:leader="none"/>
          <w:tab w:val="left" w:pos="1276" w:leader="none"/>
          <w:tab w:val="left" w:pos="1418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В соответствии с Постановлением Правительства РФ от 8 августа 2012 года № 808 «Об организации теплоснабжения в Российской Федерации и о внесении изменений в некоторые акты Правительства Российской Федерации», в случае, если</w:t>
      </w:r>
      <w:r>
        <w:rPr>
          <w:shd w:val="clear" w:color="auto" w:fill="ffffff"/>
        </w:rPr>
        <w:t xml:space="preserve"> организациями не подано ни одной заявки на присвоение статуса единой теплоснабжающей организации, статус единой теплоснабжающей организации присваивается организации, владеющей в соответствующей зоне деятельности источниками тепловой энергии с наибольшей </w:t>
      </w:r>
      <w:r>
        <w:rPr>
          <w:shd w:val="clear" w:color="auto" w:fill="ffffff"/>
        </w:rPr>
        <w:t xml:space="preserve">рабочей тепловой мощностью и (или) тепловыми сетями с наибольшей тепловой емкостью.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45" w:name="_Toc149055002"/>
      <w:r>
        <w:rPr>
          <w:bCs/>
          <w:shd w:val="clear" w:color="auto" w:fill="ffffff"/>
        </w:rPr>
        <w:t xml:space="preserve">10.4. Информация о поданных теплоснабжающими организациями заявках на присвоение статуса единой теплоснабжающей организации</w:t>
      </w:r>
      <w:bookmarkEnd w:id="45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tabs>
          <w:tab w:val="left" w:pos="709" w:leader="none"/>
          <w:tab w:val="left" w:pos="1276" w:leader="none"/>
          <w:tab w:val="left" w:pos="1418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Информация о поданных теплоснабжающими организациями заявках на присвоение статуса единой теплоснабжающей организации Тайшетского городского поселения 202</w:t>
      </w:r>
      <w:r>
        <w:rPr>
          <w:shd w:val="clear" w:color="auto" w:fill="ffffff"/>
        </w:rPr>
        <w:t xml:space="preserve">4</w:t>
      </w:r>
      <w:r>
        <w:rPr>
          <w:shd w:val="clear" w:color="auto" w:fill="ffffff"/>
        </w:rPr>
        <w:t xml:space="preserve"> году отсутствует.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46" w:name="_Toc149055003"/>
      <w:r>
        <w:rPr>
          <w:bCs/>
          <w:shd w:val="clear" w:color="auto" w:fill="ffffff"/>
        </w:rPr>
        <w:t xml:space="preserve">10.5. Реестр систем теплоснабжения, содержащий перечень теплоснабжающих организаций, действующих в каждой системе теплоснабжения, расположенных в границах Тайшетского муниципального образования «Тайшетское городское поселение»</w:t>
      </w:r>
      <w:bookmarkEnd w:id="46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</w:pPr>
      <w:r>
        <w:rPr>
          <w:shd w:val="clear" w:color="auto" w:fill="ffffff"/>
        </w:rPr>
        <w:t xml:space="preserve">В границах Тайшетского городского поселения действуют теплоснабжающие организации ОП «ТТС» АО «</w:t>
      </w:r>
      <w:r>
        <w:t xml:space="preserve">Байкалэнерго», </w:t>
      </w:r>
      <w:r>
        <w:rPr>
          <w:shd w:val="clear" w:color="auto" w:fill="ffffff"/>
        </w:rPr>
        <w:t xml:space="preserve">Тайшетский территориальный участок Восточно-Сибирской дирекции по тепловодоснабжению – филиала ОАО «РЖД» и филиал ОАО «ИЭСК» «Западные электрические сети», </w:t>
      </w:r>
      <w:r>
        <w:t xml:space="preserve">обслуживающие муниципальные котельные и тепловые сети Тайшетского городского поселения, а так же ведомственные электрокотельные.</w:t>
      </w:r>
      <w:r/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Реестр систем теплоснабжения с перечнем теплоснабжающих организаций, действующих в каждой системе теплоснабжения, приведен в Таблице 29.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right"/>
        <w:rPr>
          <w:rFonts w:eastAsiaTheme="minorHAnsi"/>
          <w:lang w:eastAsia="en-US"/>
        </w:rPr>
      </w:pPr>
      <w:r>
        <w:rPr>
          <w:rFonts w:eastAsiaTheme="minorHAnsi"/>
          <w:bCs/>
          <w:lang w:eastAsia="en-US"/>
        </w:rPr>
        <w:t xml:space="preserve">Таблица 29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Реестр систем теплоснабжения и теплоснабжающих организаций, 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действующих в каждой системе теплоснабжения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0A0" w:firstRow="1" w:lastRow="0" w:firstColumn="1" w:lastColumn="0" w:noHBand="0" w:noVBand="0"/>
      </w:tblPr>
      <w:tblGrid>
        <w:gridCol w:w="416"/>
        <w:gridCol w:w="969"/>
        <w:gridCol w:w="1418"/>
        <w:gridCol w:w="1416"/>
        <w:gridCol w:w="1420"/>
        <w:gridCol w:w="1483"/>
        <w:gridCol w:w="2448"/>
      </w:tblGrid>
      <w:tr>
        <w:tblPrEx/>
        <w:trPr>
          <w:trHeight w:val="156"/>
        </w:trPr>
        <w:tc>
          <w:tcPr>
            <w:tcW w:w="217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№ п/п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  <w:tc>
          <w:tcPr>
            <w:tcW w:w="506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Наименование населенного пункта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  <w:tc>
          <w:tcPr>
            <w:tcW w:w="741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Теплоисточник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tcW w:w="148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Организация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  <w:tc>
          <w:tcPr>
            <w:tcW w:w="775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Организация, предлагаемая в качестве единой теплоснабжающей организации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  <w:tc>
          <w:tcPr>
            <w:tcW w:w="1279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Обоснование выбора организации, предлагаемой в качестве единой теплоснабжающей организации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1340"/>
        </w:trPr>
        <w:tc>
          <w:tcPr>
            <w:tcW w:w="217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  <w:tc>
          <w:tcPr>
            <w:tcW w:w="506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  <w:tc>
          <w:tcPr>
            <w:tcW w:w="741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  <w:tc>
          <w:tcPr>
            <w:tcW w:w="740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техобслуживание теплоисточника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  <w:tc>
          <w:tcPr>
            <w:tcW w:w="74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техобслуживание тепловых сетей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  <w:tc>
          <w:tcPr>
            <w:tcW w:w="775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  <w:tc>
          <w:tcPr>
            <w:tcW w:w="1279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1740"/>
        </w:trPr>
        <w:tc>
          <w:tcPr>
            <w:tcW w:w="217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506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город Тайшет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41" w:type="pct"/>
            <w:textDirection w:val="lrTb"/>
            <w:noWrap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№1 (ТКСИ)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40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42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75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279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Владение на праве собственности или ином законном праве </w:t>
            </w:r>
            <w:r>
              <w:rPr>
                <w:rFonts w:eastAsiaTheme="minorHAnsi"/>
                <w:spacing w:val="-8"/>
                <w:sz w:val="22"/>
                <w:szCs w:val="22"/>
                <w:lang w:eastAsia="en-US"/>
              </w:rPr>
              <w:t xml:space="preserve">источниками тепловой энергии наибольшей мощности и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тепловыми сетями наибольшей емкости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349"/>
        </w:trPr>
        <w:tc>
          <w:tcPr>
            <w:tcW w:w="217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506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город Тайшет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41" w:type="pct"/>
            <w:textDirection w:val="lrTb"/>
            <w:noWrap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№2 (ШПЗ)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40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42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75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279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Владение на праве собственности или ином законном праве </w:t>
            </w:r>
            <w:r>
              <w:rPr>
                <w:rFonts w:eastAsiaTheme="minorHAnsi"/>
                <w:spacing w:val="-8"/>
                <w:sz w:val="22"/>
                <w:szCs w:val="22"/>
                <w:lang w:eastAsia="en-US"/>
              </w:rPr>
              <w:t xml:space="preserve">источниками тепловой энергии наибольшей мощности и тепловыми сетями наибольшей емкости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217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506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город Тайшет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41" w:type="pct"/>
            <w:textDirection w:val="lrTb"/>
            <w:noWrap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№3 (Мелькомбинат)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40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42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75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279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Владение на праве собственности или </w:t>
            </w:r>
            <w:r>
              <w:rPr>
                <w:rFonts w:eastAsiaTheme="minorHAnsi"/>
                <w:spacing w:val="-8"/>
                <w:sz w:val="22"/>
                <w:szCs w:val="22"/>
                <w:lang w:eastAsia="en-US"/>
              </w:rPr>
              <w:t xml:space="preserve">ином законном праве источниками тепловой энергии наибольшей мощности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и тепловыми сетями наибольшей емкости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1410"/>
        </w:trPr>
        <w:tc>
          <w:tcPr>
            <w:tcW w:w="217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506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город Тайшет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41" w:type="pct"/>
            <w:textDirection w:val="lrTb"/>
            <w:noWrap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№4 (Экспедиция № 5)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40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42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75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279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Владение на праве собственности или ином законном праве </w:t>
            </w:r>
            <w:r>
              <w:rPr>
                <w:rFonts w:eastAsiaTheme="minorHAnsi"/>
                <w:spacing w:val="-8"/>
                <w:sz w:val="22"/>
                <w:szCs w:val="22"/>
                <w:lang w:eastAsia="en-US"/>
              </w:rPr>
              <w:t xml:space="preserve">источниками тепловой энергии наибольшей мощности и тепловыми сетями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наибольшей емкости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217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506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город Тайшет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41" w:type="pct"/>
            <w:textDirection w:val="lrTb"/>
            <w:noWrap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№5 (Совхоз)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40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42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75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279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Владение на праве собственности или ином законном праве </w:t>
            </w:r>
            <w:r>
              <w:rPr>
                <w:rFonts w:eastAsiaTheme="minorHAnsi"/>
                <w:spacing w:val="-8"/>
                <w:sz w:val="22"/>
                <w:szCs w:val="22"/>
                <w:lang w:eastAsia="en-US"/>
              </w:rPr>
              <w:t xml:space="preserve">источниками тепловой энергии наибольшей мощности и тепловыми сетями наибольшей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емкости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349"/>
        </w:trPr>
        <w:tc>
          <w:tcPr>
            <w:tcW w:w="217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506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город Тайшет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41" w:type="pct"/>
            <w:textDirection w:val="lrTb"/>
            <w:noWrap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Электрокотельная ДТВ ОАО «РЖД»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40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Тайшетский территориальный участок Восточно-Сибирской ДТВ филиала ОАО "РЖД"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42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Тайшетский территориальный участок Восточно-Сибирской ДТВ филиала ОАО "РЖД"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75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Тайшетский территориальный участок  Восточно-Сибирской ДТВ филиала ОАО "РЖД"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279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Владение на праве собственности или ином законном праве </w:t>
            </w:r>
            <w:r>
              <w:rPr>
                <w:rFonts w:eastAsiaTheme="minorHAnsi"/>
                <w:spacing w:val="-8"/>
                <w:sz w:val="22"/>
                <w:szCs w:val="22"/>
                <w:lang w:eastAsia="en-US"/>
              </w:rPr>
              <w:t xml:space="preserve">источниками тепловой энергии наибольшей мощности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и тепловыми сетями наибольшей емкости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1568"/>
        </w:trPr>
        <w:tc>
          <w:tcPr>
            <w:tcW w:w="217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506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город Тайшет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41" w:type="pct"/>
            <w:textDirection w:val="lrTb"/>
            <w:noWrap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Электрокотельная ПС-500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40" w:type="pc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Филиал ОАО «ИЭСК» «Западные электрические сети»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42" w:type="pct"/>
            <w:textDirection w:val="lrTb"/>
            <w:noWrap w:val="false"/>
          </w:tcPr>
          <w:p>
            <w:pPr>
              <w:rPr>
                <w:rFonts w:eastAsiaTheme="minorHAnsi"/>
                <w:strike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Филиал ОАО «ИЭСК» «Западные электрические сети»</w:t>
            </w:r>
            <w:r>
              <w:rPr>
                <w:rFonts w:eastAsiaTheme="minorHAnsi"/>
                <w:strike/>
                <w:sz w:val="22"/>
                <w:szCs w:val="22"/>
                <w:lang w:eastAsia="en-US"/>
              </w:rPr>
            </w:r>
            <w:r>
              <w:rPr>
                <w:rFonts w:eastAsiaTheme="minorHAnsi"/>
                <w:strike/>
                <w:sz w:val="22"/>
                <w:szCs w:val="22"/>
                <w:lang w:eastAsia="en-US"/>
              </w:rPr>
            </w:r>
          </w:p>
        </w:tc>
        <w:tc>
          <w:tcPr>
            <w:tcW w:w="775" w:type="pct"/>
            <w:textDirection w:val="lrTb"/>
            <w:noWrap w:val="false"/>
          </w:tcPr>
          <w:p>
            <w:pPr>
              <w:rPr>
                <w:rFonts w:eastAsiaTheme="minorHAnsi"/>
                <w:strike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Филиал ОАО «ИЭСК» «Западные электрические сети»</w:t>
            </w:r>
            <w:r>
              <w:rPr>
                <w:rFonts w:eastAsiaTheme="minorHAnsi"/>
                <w:strike/>
                <w:sz w:val="22"/>
                <w:szCs w:val="22"/>
                <w:lang w:eastAsia="en-US"/>
              </w:rPr>
            </w:r>
            <w:r>
              <w:rPr>
                <w:rFonts w:eastAsiaTheme="minorHAnsi"/>
                <w:strike/>
                <w:sz w:val="22"/>
                <w:szCs w:val="22"/>
                <w:lang w:eastAsia="en-US"/>
              </w:rPr>
            </w:r>
          </w:p>
        </w:tc>
        <w:tc>
          <w:tcPr>
            <w:tcW w:w="1279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Владение на праве собственности или ином законном праве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</w:tbl>
    <w:p>
      <w:pPr>
        <w:contextualSpacing/>
        <w:jc w:val="center"/>
        <w:keepLines/>
        <w:keepNext/>
        <w:widowControl w:val="off"/>
        <w:rPr>
          <w:bCs/>
          <w:caps/>
          <w:sz w:val="22"/>
          <w:szCs w:val="22"/>
        </w:rPr>
      </w:pPr>
      <w:r>
        <w:rPr>
          <w:bCs/>
          <w:caps/>
          <w:sz w:val="22"/>
          <w:szCs w:val="22"/>
        </w:rPr>
      </w:r>
      <w:r>
        <w:rPr>
          <w:bCs/>
          <w:caps/>
          <w:sz w:val="22"/>
          <w:szCs w:val="22"/>
        </w:rPr>
      </w:r>
      <w:r>
        <w:rPr>
          <w:bCs/>
          <w:caps/>
          <w:sz w:val="22"/>
          <w:szCs w:val="22"/>
        </w:rPr>
      </w:r>
    </w:p>
    <w:p>
      <w:pPr>
        <w:contextualSpacing/>
        <w:ind w:firstLine="709"/>
        <w:jc w:val="center"/>
        <w:keepLines/>
        <w:keepNext/>
        <w:widowControl w:val="off"/>
        <w:rPr>
          <w:bCs/>
          <w:caps/>
          <w:szCs w:val="26"/>
        </w:rPr>
      </w:pPr>
      <w:r/>
      <w:bookmarkStart w:id="47" w:name="_Toc149055004"/>
      <w:r>
        <w:rPr>
          <w:bCs/>
          <w:caps/>
          <w:szCs w:val="26"/>
        </w:rPr>
        <w:t xml:space="preserve">РАЗДЕЛ 11. РЕШЕНИЯ О РАСПРЕДЕЛЕНИИ ТЕПЛОВОЙ НАГРУЗКИ МЕЖДУ ИСТОЧНИКАМИ ТЕПЛОВОЙ ЭНЕРГИИ</w:t>
      </w:r>
      <w:bookmarkEnd w:id="47"/>
      <w:r>
        <w:rPr>
          <w:bCs/>
          <w:caps/>
          <w:szCs w:val="26"/>
        </w:rPr>
      </w:r>
      <w:r>
        <w:rPr>
          <w:bCs/>
          <w:caps/>
          <w:szCs w:val="26"/>
        </w:rPr>
      </w:r>
    </w:p>
    <w:p>
      <w:pPr>
        <w:ind w:firstLine="709"/>
        <w:jc w:val="both"/>
        <w:widowControl w:val="off"/>
        <w:rPr>
          <w:shd w:val="clear" w:color="auto" w:fill="ffffff"/>
        </w:rPr>
      </w:pPr>
      <w:r>
        <w:rPr>
          <w:shd w:val="clear" w:color="auto" w:fill="ffffff"/>
        </w:rPr>
        <w:t xml:space="preserve">Распределение тепловой нагрузки между муниципальными котельными Тайшетского городского поселения нецелесообразно в связи с недостаточной эффективностью данного распределения. 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widowControl w:val="off"/>
        <w:rPr>
          <w:shd w:val="clear" w:color="auto" w:fill="ffffff"/>
        </w:rPr>
      </w:pPr>
      <w:r>
        <w:rPr>
          <w:shd w:val="clear" w:color="auto" w:fill="ffffff"/>
        </w:rPr>
        <w:t xml:space="preserve">Условия, при которых возможны поставки тепловой энергии одним и тем же потребителям от различных муниципальных котельных при сохранении надежности систем теплоснабжения Тайшетского городского поселения, отсутствуют.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center"/>
        <w:widowControl w:val="off"/>
        <w:rPr>
          <w:shd w:val="clear" w:color="auto" w:fill="ffffff"/>
        </w:r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contextualSpacing/>
        <w:jc w:val="center"/>
        <w:keepLines/>
        <w:keepNext/>
        <w:widowControl w:val="off"/>
        <w:rPr>
          <w:bCs/>
          <w:caps/>
          <w:szCs w:val="26"/>
        </w:rPr>
      </w:pPr>
      <w:r/>
      <w:bookmarkStart w:id="48" w:name="_Toc149055005"/>
      <w:r>
        <w:rPr>
          <w:bCs/>
          <w:caps/>
          <w:szCs w:val="26"/>
        </w:rPr>
        <w:t xml:space="preserve">РАЗДЕЛ 12. </w:t>
      </w:r>
      <w:r>
        <w:rPr>
          <w:bCs/>
          <w:caps/>
          <w:szCs w:val="26"/>
        </w:rPr>
        <w:t xml:space="preserve">РЕШЕНИЯ ПО БЕСХОЗЯЙНЫМ ТЕПЛОВЫМ СЕТЯМ</w:t>
      </w:r>
      <w:bookmarkEnd w:id="48"/>
      <w:r>
        <w:rPr>
          <w:bCs/>
          <w:caps/>
          <w:szCs w:val="26"/>
        </w:rPr>
      </w:r>
      <w:r>
        <w:rPr>
          <w:bCs/>
          <w:caps/>
          <w:szCs w:val="26"/>
        </w:rPr>
      </w:r>
    </w:p>
    <w:p>
      <w:pPr>
        <w:ind w:firstLine="709"/>
        <w:jc w:val="both"/>
        <w:widowControl w:val="off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Муниципальные котельные Тайшетского городского поселения и тепловые сети муниципальных котельных эксплуатируются ОП «ТТС» </w:t>
      </w:r>
      <w:r>
        <w:t xml:space="preserve">АО «Байкалэнерго»</w:t>
      </w:r>
      <w:r>
        <w:rPr>
          <w:rFonts w:eastAsia="Calibri"/>
          <w:lang w:eastAsia="en-US"/>
        </w:rPr>
        <w:t xml:space="preserve">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widowControl w:val="off"/>
      </w:pPr>
      <w:r>
        <w:t xml:space="preserve">На территории Тайшетского городского поселения в границ</w:t>
      </w:r>
      <w:r>
        <w:t xml:space="preserve">ах системы теплоснабжения все выявленные бесхозяйные тепловые сети, в соответствии с пунктом 6 статьи 15 Федерального закона РФ от 27 июля 2010 года №190-ФЗ, до признания права собственности переданы на содержание и обслуживание ОП «ТТС» АО «Байкалэнерго».</w:t>
      </w:r>
      <w:r/>
    </w:p>
    <w:p>
      <w:pPr>
        <w:ind w:firstLine="709"/>
        <w:jc w:val="both"/>
      </w:pPr>
      <w:r>
        <w:t xml:space="preserve">Тепловые сети относящиеся к котельной №1 (ТКСИ):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ТК-5(ТК-8) до (ТК-2) (163метра);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ТК-1 до УТ-4 (168 метров);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ТК-2 до УТ-14 (284метра);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ТК-5а-1 до дома №11 по улице Юбилейной (25метров);</w:t>
      </w:r>
      <w:r/>
    </w:p>
    <w:p>
      <w:pPr>
        <w:ind w:firstLine="709"/>
        <w:jc w:val="both"/>
        <w:shd w:val="clear" w:color="auto" w:fill="ffffff" w:themeFill="background1"/>
        <w:widowControl w:val="off"/>
      </w:pPr>
      <w:r>
        <w:t xml:space="preserve">от ТК-3-10 до дома №12 по улице Юбилейной (17 метров);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ТК-9а-1 до ТК-9в-1 в районе жилого дома №18 по улице Юбилейной (32 метра);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ТК-9в-1 до ТК-9д-1 в районе жилых домов №14, 16 по улице Юбилейной (85метров);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 14-1 до ТК 14б-1 по улице Полевой (138 метра);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 14б-1 до ТК 14г по улице Юбилейной (49 метров);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 14-1 до ТК14в-1 в районе жилых домов №20, 22 по улице Юбилейной (22 метра);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 14г до ТК14д-1 в районе жилых домов №19, 21 по улице Юбилейной (55 метров);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 3-8 до ТК 9-1-1 в районе жилого дома №9 по улице Полевой (14 метров);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 9-1-1 до ТК-9а-1 в районе жилых домов №9, 11, 13, 15 по улице Полевой (145 метров);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ТК-9а-1 до ТК-9б-1 по улице Полевой (26 метров);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ТК-9б-1 до ТК 14-1 по улице Полевой (82 метра);</w:t>
      </w:r>
      <w:r/>
    </w:p>
    <w:p>
      <w:pPr>
        <w:ind w:firstLine="709"/>
        <w:jc w:val="both"/>
        <w:shd w:val="clear" w:color="auto" w:fill="ffffff" w:themeFill="background1"/>
        <w:widowControl w:val="off"/>
      </w:pPr>
      <w:r>
        <w:t xml:space="preserve">от ТК 14-1 до ТК 14а-1 в районе жилых домов №17, 19 по улице Полевой (40 метров);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 3-12 до ТК 5а-1 (14 метров);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 5а-1 до жилого дома №5 по улице Полевой (45 метров);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 14б-1 до ТК 14е-1 в районе жилых домов №17, 19 по улице Полевой (186 метров);</w:t>
      </w:r>
      <w:r/>
    </w:p>
    <w:p>
      <w:pPr>
        <w:ind w:firstLine="709"/>
        <w:jc w:val="both"/>
        <w:shd w:val="clear" w:color="auto" w:fill="ffffff" w:themeFill="background1"/>
      </w:pPr>
      <w:r>
        <w:t xml:space="preserve">Тепловые сети относящиеся к котельной № 2 (ШПЗ):</w:t>
      </w:r>
      <w:r/>
    </w:p>
    <w:p>
      <w:pPr>
        <w:ind w:firstLine="709"/>
        <w:jc w:val="both"/>
        <w:shd w:val="clear" w:color="auto" w:fill="ffffff" w:themeFill="background1"/>
        <w:widowControl w:val="off"/>
      </w:pPr>
      <w:r>
        <w:t xml:space="preserve">от ТК-22-7 до здания ОГКУ ЦЗН Тайшетского района (77 метров);</w:t>
      </w:r>
      <w:r/>
    </w:p>
    <w:p>
      <w:pPr>
        <w:ind w:firstLine="709"/>
        <w:jc w:val="both"/>
        <w:shd w:val="clear" w:color="auto" w:fill="ffffff" w:themeFill="background1"/>
        <w:widowControl w:val="off"/>
      </w:pPr>
      <w:r>
        <w:t xml:space="preserve">от ТК-5-34 до здания военного комиссариата Тайшетского района (50 метров);</w:t>
      </w:r>
      <w:r/>
    </w:p>
    <w:p>
      <w:pPr>
        <w:ind w:firstLine="709"/>
        <w:jc w:val="both"/>
        <w:widowControl w:val="off"/>
      </w:pPr>
      <w:r>
        <w:t xml:space="preserve">от ТК-5-18 до стены здания ресторана «Азия» по улице Суворова (45 метров);</w:t>
      </w:r>
      <w:r/>
    </w:p>
    <w:p>
      <w:pPr>
        <w:ind w:firstLine="709"/>
        <w:jc w:val="both"/>
        <w:widowControl w:val="off"/>
      </w:pPr>
      <w:r>
        <w:t xml:space="preserve">от ТК-2-7 до здания ФГП ВО «ЖДТ» по улице Бурлова, 1 (51 метр).</w:t>
      </w:r>
      <w:r/>
    </w:p>
    <w:p>
      <w:pPr>
        <w:ind w:firstLine="709"/>
        <w:jc w:val="both"/>
      </w:pPr>
      <w:r>
        <w:t xml:space="preserve">Тепловые сети относящиеся к котельной № 3 (Мелькомбинат):</w:t>
      </w:r>
      <w:r/>
    </w:p>
    <w:p>
      <w:pPr>
        <w:ind w:firstLine="709"/>
        <w:jc w:val="both"/>
        <w:widowControl w:val="off"/>
      </w:pPr>
      <w:r>
        <w:t xml:space="preserve">от ТК-9 до здания ОГБУЗ Тайшетский ОКВД (67 метров);</w:t>
      </w:r>
      <w:r/>
    </w:p>
    <w:p>
      <w:pPr>
        <w:ind w:firstLine="709"/>
        <w:jc w:val="both"/>
        <w:widowControl w:val="off"/>
      </w:pPr>
      <w:r>
        <w:t xml:space="preserve">от ТК-8-1 до ТК-8-6 в районе жилых домов №243а, 245а, 264, 266, 268 по улице Комсомольской (312 метров);</w:t>
      </w:r>
      <w:r/>
    </w:p>
    <w:p>
      <w:pPr>
        <w:ind w:firstLine="709"/>
        <w:jc w:val="both"/>
        <w:widowControl w:val="off"/>
      </w:pPr>
      <w:r>
        <w:t xml:space="preserve">от ТК-4 до ТК-6-1 в районе жилых домов №199, 201, 202, 203, 205 по улице Воинов – интернационалистов (300 метров);</w:t>
      </w:r>
      <w:r/>
    </w:p>
    <w:p>
      <w:pPr>
        <w:ind w:firstLine="709"/>
        <w:jc w:val="both"/>
        <w:widowControl w:val="off"/>
      </w:pPr>
      <w:r>
        <w:t xml:space="preserve">от ТК-3 до ТК-3в в районе жилых домов №272, 274, 276, 278 по улице Ленина (268 метров);</w:t>
      </w:r>
      <w:r/>
    </w:p>
    <w:p>
      <w:pPr>
        <w:ind w:firstLine="709"/>
        <w:jc w:val="both"/>
        <w:widowControl w:val="off"/>
      </w:pPr>
      <w:r>
        <w:t xml:space="preserve">от ТК-12 до УТ-12-2а в районе жилых домов №185б, 188, 190 по улице Воинов интернационалистов ( 216 метров);</w:t>
      </w:r>
      <w:r/>
    </w:p>
    <w:p>
      <w:pPr>
        <w:ind w:firstLine="709"/>
        <w:jc w:val="both"/>
        <w:widowControl w:val="off"/>
      </w:pPr>
      <w:r>
        <w:t xml:space="preserve">от УТ-12-2 до УТ-12-3 в районе жилого дома №186 по улице Воинов – интернационалистов  (52 метра);</w:t>
      </w:r>
      <w:r/>
    </w:p>
    <w:p>
      <w:pPr>
        <w:ind w:firstLine="709"/>
        <w:jc w:val="both"/>
      </w:pPr>
      <w:r>
        <w:t xml:space="preserve">Тепловые сети относящиеся к котельной № 5 (Совхоз):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ТК-11 до дома №1 по улице Северной (67 метров);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ТК-11 до дома №2 по улице Северной (25 метров);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по подвалу жилого дома №20 по улице Капустина до угла поворота на ТК-4 (44 метра);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угла поворота на ТК-4 по улице Капустина до ТК-4 (40 метров);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ТК-4 до ТК-8 (306 метров);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ТК-8 до ТК-10 (143 метра);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ТК-10 до спуска ТС в подземное исполнение (30 метров);</w:t>
      </w:r>
      <w:r/>
    </w:p>
    <w:p>
      <w:pPr>
        <w:ind w:firstLine="709"/>
        <w:jc w:val="both"/>
        <w:shd w:val="clear" w:color="auto" w:fill="ffffff"/>
        <w:widowControl w:val="off"/>
      </w:pPr>
      <w:r>
        <w:t xml:space="preserve">от спуска ТС в подземное исполнение до ТК-11 (77 метров).</w:t>
      </w:r>
      <w:r/>
    </w:p>
    <w:p>
      <w:pPr>
        <w:ind w:firstLine="709"/>
        <w:jc w:val="both"/>
        <w:shd w:val="clear" w:color="auto" w:fill="ffffff"/>
        <w:widowControl w:val="off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В соответствии с требованиями</w:t>
      </w:r>
      <w:r>
        <w:rPr>
          <w:rFonts w:eastAsia="Calibri"/>
          <w:lang w:eastAsia="en-US"/>
        </w:rPr>
        <w:t xml:space="preserve"> Федерального закона Российской Федерации от 02 июля 2021 года №348-ФЗ, в связи с выявлением бесхозяйных объектов системы централизованного теплоснабжения в границах административной территории Тайшетского городского поселения, требуется в течение 60 дней: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1. Обеспечить проведение проверки соответствия бесхозяйного объекта теплоснабжения требованиям промышленной безопасности, экологической безопасности, </w:t>
      </w:r>
      <w:r>
        <w:rPr>
          <w:rFonts w:eastAsia="Calibri"/>
          <w:lang w:eastAsia="en-US"/>
        </w:rPr>
        <w:t xml:space="preserve">пожарной безопасности, требованиям безопасности в сфере теплоснабжения, требованиям к обеспечению безопасности в сфере электроэнергетики;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2. Провести проверку наличия документов, необходимых для безопасной эксплуатации объекта теплоснабжения;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3. Обратиться в орган, осуществляющий государственную регистрацию права на недвижимое имущество, для принятия на учет бесхозяйного объекта теплоснабжения;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4. Обеспечить выполнение кадастровых работ в отношении такого объекта теплоснабжения.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jc w:val="center"/>
        <w:shd w:val="clear" w:color="auto" w:fill="ffffff"/>
        <w:widowControl w:val="off"/>
        <w:rPr>
          <w:caps/>
        </w:rPr>
      </w:pPr>
      <w:r>
        <w:rPr>
          <w:bCs/>
          <w:caps/>
          <w:szCs w:val="26"/>
          <w:highlight w:val="none"/>
        </w:rPr>
      </w:r>
      <w:r>
        <w:rPr>
          <w:caps/>
        </w:rPr>
      </w:r>
      <w:r>
        <w:rPr>
          <w:caps/>
        </w:rPr>
      </w:r>
    </w:p>
    <w:p>
      <w:pPr>
        <w:jc w:val="center"/>
        <w:shd w:val="clear" w:color="auto" w:fill="ffffff"/>
        <w:widowControl w:val="off"/>
        <w:rPr>
          <w:caps/>
          <w:highlight w:val="none"/>
        </w:rPr>
      </w:pPr>
      <w:r>
        <w:rPr>
          <w:bCs/>
          <w:caps/>
          <w:szCs w:val="26"/>
        </w:rPr>
        <w:t xml:space="preserve">РАЗДЕЛ 13. СИНХРОНИЗАЦИЯ СХЕМЫ ТЕПЛОСНАБЖЕНИЯ СО СХЕМОЙ ГАЗОСНАБЖЕНИЯ И ГАЗИФИКАЦИИ ИРКУТСКОЙ ОБЛАСТИ, СХЕМОЙ И ПРОГРАММОЙ РАЗВИТИЯ ЭЛЕКТРОЭНЕРГЕТИКИ, СО СХЕМОЙ ВОДОСНАБЖЕНИЯ И ВОДООТВЕДЕНИЯ ТАЙШЕТСКОГО ГОРОДСКОго ПОСЕЛЕНИя</w:t>
      </w:r>
      <w:r>
        <w:rPr>
          <w:caps/>
          <w:highlight w:val="none"/>
        </w:rPr>
      </w:r>
      <w:r>
        <w:rPr>
          <w:caps/>
          <w:highlight w:val="none"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49" w:name="_Toc149055006"/>
      <w:r>
        <w:rPr>
          <w:bCs/>
        </w:rPr>
        <w:t xml:space="preserve">13.1. </w:t>
      </w:r>
      <w:r>
        <w:rPr>
          <w:bCs/>
          <w:shd w:val="clear" w:color="auto" w:fill="ffffff"/>
        </w:rPr>
        <w:t xml:space="preserve">Оп</w:t>
      </w:r>
      <w:r>
        <w:rPr>
          <w:bCs/>
          <w:shd w:val="clear" w:color="auto" w:fill="ffffff"/>
        </w:rPr>
        <w:t xml:space="preserve">исание решений (на основе утвержденной региональной (межрегиональной) программы газификации жилищно-коммунального хозяйства, промышленных организаций) о развитии соответствующей системы газоснабжения в части обеспечения топливом источников тепловой энергии</w:t>
      </w:r>
      <w:bookmarkEnd w:id="49"/>
      <w:r>
        <w:rPr>
          <w:bCs/>
          <w:shd w:val="clear" w:color="auto" w:fill="ffffff"/>
        </w:rPr>
        <w:t xml:space="preserve">.</w:t>
      </w:r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tabs>
          <w:tab w:val="left" w:pos="709" w:leader="none"/>
          <w:tab w:val="left" w:pos="1418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Система </w:t>
      </w:r>
      <w:r>
        <w:rPr>
          <w:shd w:val="clear" w:color="auto" w:fill="ffffff"/>
        </w:rPr>
        <w:t xml:space="preserve">газоснабжения на территории Тайшетского городского поселения по состоянию на отчетный (базовый) 202</w:t>
      </w:r>
      <w:r>
        <w:rPr>
          <w:shd w:val="clear" w:color="auto" w:fill="ffffff"/>
        </w:rPr>
        <w:t xml:space="preserve">4</w:t>
      </w:r>
      <w:r>
        <w:rPr>
          <w:shd w:val="clear" w:color="auto" w:fill="ffffff"/>
        </w:rPr>
        <w:t xml:space="preserve"> год отсутствует.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widowControl w:val="off"/>
        <w:rPr>
          <w:shd w:val="clear" w:color="auto" w:fill="ffffff"/>
        </w:rPr>
      </w:pPr>
      <w:r>
        <w:rPr>
          <w:shd w:val="clear" w:color="auto" w:fill="ffffff"/>
        </w:rPr>
        <w:t xml:space="preserve">В соответствии с </w:t>
      </w:r>
      <w:r>
        <w:rPr>
          <w:rFonts w:eastAsia="Calibri"/>
          <w:lang w:eastAsia="en-US"/>
        </w:rPr>
        <w:t xml:space="preserve">программой развития газоснабжения и газификации Иркутской области до 202</w:t>
      </w:r>
      <w:r>
        <w:rPr>
          <w:rFonts w:eastAsia="Calibri"/>
          <w:lang w:eastAsia="en-US"/>
        </w:rPr>
        <w:t xml:space="preserve">5</w:t>
      </w:r>
      <w:r>
        <w:rPr>
          <w:rFonts w:eastAsia="Calibri"/>
          <w:lang w:eastAsia="en-US"/>
        </w:rPr>
        <w:t xml:space="preserve"> года, газификация Тайшетского городского поселения не прогнозируется.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50" w:name="_Toc149055007"/>
      <w:r>
        <w:rPr>
          <w:bCs/>
          <w:shd w:val="clear" w:color="auto" w:fill="ffffff"/>
        </w:rPr>
        <w:t xml:space="preserve">13.2. Описание проблем организации газоснабжения источников тепловой энергии</w:t>
      </w:r>
      <w:bookmarkEnd w:id="50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tabs>
          <w:tab w:val="left" w:pos="709" w:leader="none"/>
          <w:tab w:val="left" w:pos="1418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В связи с отсутствием на территории Тайшетского городского поселения котельных, топливом для которых является газ, этот вопрос в рамках настоящей Схемы теплоснабжения не рассматривался.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51" w:name="_Toc149055008"/>
      <w:r>
        <w:rPr>
          <w:bCs/>
          <w:shd w:val="clear" w:color="auto" w:fill="ffffff"/>
        </w:rPr>
        <w:t xml:space="preserve">13.3. Предложения по корректировке, утвержденной (разработке) регионально</w:t>
      </w:r>
      <w:r>
        <w:rPr>
          <w:bCs/>
          <w:shd w:val="clear" w:color="auto" w:fill="ffffff"/>
        </w:rPr>
        <w:t xml:space="preserve">й (межрегиональной) программы газификации жилищно-коммунального хозяйства, промышленных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</w:t>
      </w:r>
      <w:bookmarkEnd w:id="51"/>
      <w:r>
        <w:rPr>
          <w:bCs/>
          <w:shd w:val="clear" w:color="auto" w:fill="ffffff"/>
        </w:rPr>
        <w:t xml:space="preserve">.</w:t>
      </w:r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Утвержденная подпрограмма «Газификация жилищно-коммунального хозяйства, </w:t>
      </w:r>
      <w:r>
        <w:rPr>
          <w:rFonts w:eastAsiaTheme="minorHAnsi"/>
          <w:lang w:eastAsia="en-US"/>
        </w:rPr>
        <w:t xml:space="preserve">промышленных и иных организаций Иркутской области» на 2019 - 2024 годы государственной программы Иркутской области «Развитие жилищно-коммунального хозяйства и повышение энергоэффективности Иркутской области» на 2019 - 2024 годы не предусматривает варианты </w:t>
      </w:r>
      <w:r>
        <w:rPr>
          <w:rFonts w:eastAsiaTheme="minorHAnsi"/>
          <w:lang w:eastAsia="en-US"/>
        </w:rPr>
        <w:t xml:space="preserve">газоснабжения источников тепловой энергии Тайшетского городского поселения.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tabs>
          <w:tab w:val="left" w:pos="709" w:leader="none"/>
          <w:tab w:val="left" w:pos="1418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Система газоснабжения на территории Тайшетского городского поселения по состоянию на отчетный (базовый) 202</w:t>
      </w:r>
      <w:r>
        <w:rPr>
          <w:shd w:val="clear" w:color="auto" w:fill="ffffff"/>
        </w:rPr>
        <w:t xml:space="preserve">4</w:t>
      </w:r>
      <w:r>
        <w:rPr>
          <w:shd w:val="clear" w:color="auto" w:fill="ffffff"/>
        </w:rPr>
        <w:t xml:space="preserve"> год отсутствует. В связи с этим предложения по корректировке утвержденной </w:t>
      </w:r>
      <w:r>
        <w:rPr>
          <w:rFonts w:eastAsia="Calibri"/>
          <w:lang w:eastAsia="en-US"/>
        </w:rPr>
        <w:t xml:space="preserve">программы развития газоснабжения и газификации Иркутской области до 2025 года </w:t>
      </w:r>
      <w:r>
        <w:rPr>
          <w:shd w:val="clear" w:color="auto" w:fill="ffffff"/>
        </w:rPr>
        <w:t xml:space="preserve">для обеспечения согласованности программы с указанными в настоящей Схеме теплоснабжения решениями о развитии источников тепловой энергии и систем теплоснабжения Тайшетского городского поселения не требуются.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52" w:name="_Toc149055009"/>
      <w:r>
        <w:rPr>
          <w:bCs/>
          <w:shd w:val="clear" w:color="auto" w:fill="ffffff"/>
        </w:rPr>
        <w:t xml:space="preserve">13.4. Описание решений (вырабатываемых с учетом положений утвержденной схемы и программы развития Единой энергетической системы России) о строительстве, реконструкции, техническом перевооружении и</w:t>
      </w:r>
      <w:r>
        <w:rPr>
          <w:bCs/>
          <w:shd w:val="clear" w:color="auto" w:fill="ffffff"/>
        </w:rPr>
        <w:t xml:space="preserve"> модернизации, выводе из эксплуатац</w:t>
      </w:r>
      <w:r>
        <w:rPr>
          <w:bCs/>
          <w:shd w:val="clear" w:color="auto" w:fill="ffffff"/>
        </w:rPr>
        <w:t xml:space="preserve">ии источников тепловой энергии и генерирующих объектов, включая входящее в их состав оборудование, функционирующих в режиме комбинированной выработки электрической и тепловой энергии, в части перспективных балансов тепловой мощности в схемах теплоснабжения</w:t>
      </w:r>
      <w:bookmarkEnd w:id="52"/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widowControl w:val="off"/>
        <w:rPr>
          <w:shd w:val="clear" w:color="auto" w:fill="ffffff"/>
        </w:rPr>
      </w:pPr>
      <w:r>
        <w:rPr>
          <w:shd w:val="clear" w:color="auto" w:fill="ffffff"/>
        </w:rPr>
        <w:t xml:space="preserve">Источники тепловой энергии и генерирующие объекты, функционирующие в режиме комбинированной выработки электрической и тепловой энергии, на территории </w:t>
      </w:r>
      <w:r>
        <w:rPr>
          <w:shd w:val="clear" w:color="auto" w:fill="ffffff"/>
        </w:rPr>
        <w:t xml:space="preserve">Тайшетского городского </w:t>
      </w:r>
      <w:r>
        <w:rPr>
          <w:shd w:val="clear" w:color="auto" w:fill="ffffff"/>
        </w:rPr>
        <w:t xml:space="preserve">поселения по состоянию на отчетный (базовый) 202</w:t>
      </w:r>
      <w:r>
        <w:rPr>
          <w:shd w:val="clear" w:color="auto" w:fill="ffffff"/>
        </w:rPr>
        <w:t xml:space="preserve">4</w:t>
      </w:r>
      <w:r>
        <w:rPr>
          <w:shd w:val="clear" w:color="auto" w:fill="ffffff"/>
        </w:rPr>
        <w:t xml:space="preserve"> год отсутствуют.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widowControl w:val="off"/>
        <w:rPr>
          <w:shd w:val="clear" w:color="auto" w:fill="ffffff"/>
        </w:rPr>
      </w:pPr>
      <w:r>
        <w:rPr>
          <w:shd w:val="clear" w:color="auto" w:fill="ffffff"/>
        </w:rPr>
        <w:t xml:space="preserve">Строительство источников тепловой энергии и генерирующих объектов, функционирующих в режиме комбинированной выработки электрической и тепловой энергии, на территории Тайшетского городского поселения на перспективу не планируется.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widowControl w:val="off"/>
        <w:rPr>
          <w:bCs/>
        </w:rPr>
      </w:pPr>
      <w:r>
        <w:rPr>
          <w:bCs/>
        </w:rPr>
        <w:t xml:space="preserve">13.5. Предложения по строительству генерирующих объектов, функционирующих в режиме комбинированной выработки электрической и тепловой энергии, указанных в схеме теплоснабжения, для их учета при разработке с</w:t>
      </w:r>
      <w:r>
        <w:rPr>
          <w:bCs/>
        </w:rPr>
        <w:t xml:space="preserve">хемы и программы перспективного развития электроэнергетики Иркутской области, схемы и программы развития Единой энергетической системы России, содержащие, в том числе описание участия указанных объектов в перспективных балансах тепловой мощности и энергии.</w:t>
      </w:r>
      <w:r>
        <w:rPr>
          <w:bCs/>
        </w:rPr>
      </w:r>
      <w:r>
        <w:rPr>
          <w:bCs/>
        </w:rPr>
      </w:r>
    </w:p>
    <w:p>
      <w:pPr>
        <w:ind w:firstLine="709"/>
        <w:jc w:val="both"/>
        <w:tabs>
          <w:tab w:val="left" w:pos="709" w:leader="none"/>
          <w:tab w:val="left" w:pos="1418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Строительство источников тепловой энергии и генерирующих объектов, функционирующих в режиме комбинированной выработки электрической и тепловой энергии, на территории Тайшетского городского поселения на перспективу не планируется, в связи с чем </w:t>
      </w:r>
      <w:r>
        <w:rPr>
          <w:bCs/>
        </w:rPr>
        <w:t xml:space="preserve">предложения по строительству таких объектов генерирующих объектов функционирующих в режиме комбинированной выработки электрической и тепловой энергии в настоящей Схеме теплоснабжения отсутствуют.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contextualSpacing/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53" w:name="_Toc149055010"/>
      <w:r>
        <w:rPr>
          <w:bCs/>
        </w:rPr>
        <w:t xml:space="preserve">13.6. Описание решений (вырабатываемых с учетом положений утвержденной схемы водоснабжения Тайшетского муниципального</w:t>
      </w:r>
      <w:r>
        <w:rPr>
          <w:bCs/>
        </w:rPr>
        <w:t xml:space="preserve"> образования «Тайшетское городское поселение») о развитии соответствующей системы водоснабжения в части,</w:t>
      </w:r>
      <w:r>
        <w:rPr>
          <w:bCs/>
          <w:shd w:val="clear" w:color="auto" w:fill="ffffff"/>
        </w:rPr>
        <w:t xml:space="preserve"> относящейся к системам теплоснабжения</w:t>
      </w:r>
      <w:bookmarkEnd w:id="53"/>
      <w:r>
        <w:rPr>
          <w:bCs/>
          <w:shd w:val="clear" w:color="auto" w:fill="ffffff"/>
        </w:rPr>
        <w:t xml:space="preserve">.</w:t>
      </w:r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tabs>
          <w:tab w:val="left" w:pos="709" w:leader="none"/>
          <w:tab w:val="left" w:pos="1418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В соответствии со </w:t>
      </w:r>
      <w:r>
        <w:rPr>
          <w:rFonts w:eastAsia="Calibri"/>
          <w:lang w:eastAsia="en-US"/>
        </w:rPr>
        <w:t xml:space="preserve">Схемой водоснабжения и водоотведения Тайшетского муниципального образования «Тайшетское городское поселение» на период 2023 - 2041</w:t>
      </w:r>
      <w:r>
        <w:rPr>
          <w:shd w:val="clear" w:color="auto" w:fill="ffffff"/>
        </w:rPr>
        <w:t xml:space="preserve"> годы, развитие системы водоснабжения Тайшетского городского поселения в части, относящейся к муниципальной системе теплоснабжения муниципального образования, на перспективу не прогнозируется.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keepLines/>
        <w:keepNext/>
        <w:widowControl w:val="off"/>
        <w:rPr>
          <w:bCs/>
          <w:shd w:val="clear" w:color="auto" w:fill="ffffff"/>
        </w:rPr>
      </w:pPr>
      <w:r/>
      <w:bookmarkStart w:id="54" w:name="_Toc149055011"/>
      <w:r>
        <w:rPr>
          <w:bCs/>
          <w:shd w:val="clear" w:color="auto" w:fill="ffffff"/>
        </w:rPr>
        <w:t xml:space="preserve">13.7. Предложения по корректировке утвержденно</w:t>
      </w:r>
      <w:r>
        <w:rPr>
          <w:bCs/>
          <w:shd w:val="clear" w:color="auto" w:fill="ffffff"/>
        </w:rPr>
        <w:t xml:space="preserve">й (разработке) схемы водоснабжения Тайшетского муниципального образования «Тайшетское городское поселение»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</w:t>
      </w:r>
      <w:bookmarkEnd w:id="54"/>
      <w:r>
        <w:rPr>
          <w:bCs/>
          <w:shd w:val="clear" w:color="auto" w:fill="ffffff"/>
        </w:rPr>
        <w:t xml:space="preserve">.</w:t>
      </w:r>
      <w:r>
        <w:rPr>
          <w:bCs/>
          <w:shd w:val="clear" w:color="auto" w:fill="ffffff"/>
        </w:rPr>
      </w:r>
      <w:r>
        <w:rPr>
          <w:bCs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="Calibri"/>
          <w:lang w:eastAsia="en-US"/>
        </w:rPr>
      </w:pPr>
      <w:r>
        <w:rPr>
          <w:shd w:val="clear" w:color="auto" w:fill="ffffff"/>
        </w:rPr>
        <w:t xml:space="preserve">Корректировка </w:t>
      </w:r>
      <w:r>
        <w:rPr>
          <w:rFonts w:eastAsia="Calibri"/>
          <w:lang w:eastAsia="en-US"/>
        </w:rPr>
        <w:t xml:space="preserve">Схемы водоснабжения и водоотведения Тайшетского муниципального </w:t>
      </w:r>
      <w:r>
        <w:rPr>
          <w:rFonts w:eastAsia="Calibri"/>
          <w:lang w:eastAsia="en-US"/>
        </w:rPr>
        <w:t xml:space="preserve">образования «Тайшетское городское поселение» на период 2023 - 2041 годы</w:t>
      </w:r>
      <w:r>
        <w:rPr>
          <w:shd w:val="clear" w:color="auto" w:fill="ffffff"/>
        </w:rPr>
        <w:t xml:space="preserve"> для обеспечения согласованности такой схемы и указанных в настоящей Схеме теплоснабжения решений о развитии источников тепловой энергии и системы теплоснабжения Тайшетского городского поселения, на перспективу не прогнозируется.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contextualSpacing/>
        <w:jc w:val="center"/>
        <w:keepLines/>
        <w:keepNext/>
        <w:widowControl w:val="off"/>
        <w:rPr>
          <w:caps/>
        </w:rPr>
      </w:pPr>
      <w:r>
        <w:rPr>
          <w:bCs/>
          <w:caps/>
          <w:szCs w:val="26"/>
          <w:highlight w:val="none"/>
        </w:rPr>
      </w:r>
      <w:r>
        <w:rPr>
          <w:caps/>
        </w:rPr>
      </w:r>
      <w:r>
        <w:rPr>
          <w:caps/>
        </w:rPr>
      </w:r>
    </w:p>
    <w:p>
      <w:pPr>
        <w:contextualSpacing/>
        <w:jc w:val="center"/>
        <w:keepLines/>
        <w:keepNext/>
        <w:widowControl w:val="off"/>
        <w:rPr>
          <w:caps/>
          <w:highlight w:val="none"/>
        </w:rPr>
      </w:pPr>
      <w:r/>
      <w:bookmarkStart w:id="55" w:name="_Toc149055012"/>
      <w:r>
        <w:rPr>
          <w:bCs/>
          <w:caps/>
          <w:szCs w:val="26"/>
        </w:rPr>
        <w:t xml:space="preserve">РАЗДЕЛ 14. ИНДИКАТОРЫ РАЗВИТИЯ СИСТЕМ ТЕПЛОСНАБЖЕНИЯ ТАЙШЕТСКОГО МУНИЦИПАЛЬНОГО ОБРАЗОВАНИЯ «ТАЙШЕТСКОЕ ГОРОДСКОЕ ПОСЕЛЕНИЕ»</w:t>
      </w:r>
      <w:bookmarkEnd w:id="55"/>
      <w:r>
        <w:rPr>
          <w:caps/>
          <w:highlight w:val="none"/>
        </w:rPr>
      </w:r>
      <w:r>
        <w:rPr>
          <w:caps/>
          <w:highlight w:val="none"/>
        </w:rPr>
      </w:r>
    </w:p>
    <w:p>
      <w:pPr>
        <w:ind w:firstLine="709"/>
        <w:jc w:val="both"/>
        <w:widowControl w:val="off"/>
        <w:rPr>
          <w:shd w:val="clear" w:color="auto" w:fill="ffffff"/>
        </w:rPr>
      </w:pPr>
      <w:r>
        <w:rPr>
          <w:shd w:val="clear" w:color="auto" w:fill="ffffff"/>
        </w:rPr>
        <w:t xml:space="preserve">Существующие (отчетный (базовый) 202</w:t>
      </w:r>
      <w:r>
        <w:rPr>
          <w:shd w:val="clear" w:color="auto" w:fill="ffffff"/>
        </w:rPr>
        <w:t xml:space="preserve">4</w:t>
      </w:r>
      <w:r>
        <w:rPr>
          <w:shd w:val="clear" w:color="auto" w:fill="ffffff"/>
        </w:rPr>
        <w:t xml:space="preserve"> год) и перспективные (расчетный 2041 год) индикаторы развития систем теплоснабжения Тайшетского городского поселения представлены в Таблице 30.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widowControl w:val="off"/>
        <w:rPr>
          <w:shd w:val="clear" w:color="auto" w:fill="ffffff"/>
        </w:rPr>
        <w:sectPr>
          <w:footnotePr/>
          <w:endnotePr/>
          <w:type w:val="nextPage"/>
          <w:pgSz w:w="11906" w:h="16838" w:orient="portrait"/>
          <w:pgMar w:top="1134" w:right="851" w:bottom="1134" w:left="1701" w:header="340" w:footer="0" w:gutter="0"/>
          <w:cols w:num="1" w:sep="0" w:space="708" w:equalWidth="1"/>
          <w:docGrid w:linePitch="360"/>
          <w:titlePg/>
        </w:sect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right"/>
        <w:widowControl w:val="off"/>
        <w:rPr>
          <w:shd w:val="clear" w:color="auto" w:fill="ffffff"/>
        </w:rPr>
      </w:pPr>
      <w:r>
        <w:rPr>
          <w:shd w:val="clear" w:color="auto" w:fill="ffffff"/>
        </w:rPr>
        <w:t xml:space="preserve">Таблица 30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center"/>
        <w:widowControl w:val="off"/>
        <w:rPr>
          <w:shd w:val="clear" w:color="auto" w:fill="ffffff"/>
        </w:rPr>
      </w:pPr>
      <w:r>
        <w:rPr>
          <w:shd w:val="clear" w:color="auto" w:fill="ffffff"/>
        </w:rPr>
        <w:t xml:space="preserve">Существующие отчетный (базовый) 202</w:t>
      </w:r>
      <w:r>
        <w:rPr>
          <w:shd w:val="clear" w:color="auto" w:fill="ffffff"/>
        </w:rPr>
        <w:t xml:space="preserve">4</w:t>
      </w:r>
      <w:r>
        <w:rPr>
          <w:shd w:val="clear" w:color="auto" w:fill="ffffff"/>
        </w:rPr>
        <w:t xml:space="preserve"> год и перспективные (расчетный 2041 год) индикаторы развития систем теплоснабжения 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center"/>
        <w:widowControl w:val="off"/>
        <w:rPr>
          <w:rFonts w:eastAsia="Calibri"/>
          <w:lang w:eastAsia="en-US"/>
        </w:rPr>
      </w:pPr>
      <w:r>
        <w:rPr>
          <w:shd w:val="clear" w:color="auto" w:fill="ffffff"/>
        </w:rPr>
        <w:t xml:space="preserve">Тайшетского городского поселения</w:t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contextualSpacing/>
        <w:ind w:firstLine="709"/>
        <w:jc w:val="center"/>
        <w:keepLines/>
        <w:keepNext/>
        <w:spacing w:after="120"/>
        <w:widowControl w:val="off"/>
        <w:rPr>
          <w:bCs/>
          <w:caps/>
          <w:szCs w:val="26"/>
        </w:rPr>
        <w:outlineLvl w:val="1"/>
      </w:pPr>
      <w:r>
        <w:rPr>
          <w:bCs/>
          <w:caps/>
          <w:szCs w:val="26"/>
        </w:rPr>
      </w:r>
      <w:r>
        <w:rPr>
          <w:bCs/>
          <w:caps/>
          <w:szCs w:val="26"/>
        </w:rPr>
      </w:r>
      <w:r>
        <w:rPr>
          <w:bCs/>
          <w:caps/>
          <w:szCs w:val="26"/>
        </w:rPr>
      </w:r>
    </w:p>
    <w:tbl>
      <w:tblPr>
        <w:tblW w:w="15536" w:type="dxa"/>
        <w:tblInd w:w="108" w:type="dxa"/>
        <w:tblLook w:val="04A0" w:firstRow="1" w:lastRow="0" w:firstColumn="1" w:lastColumn="0" w:noHBand="0" w:noVBand="1"/>
      </w:tblPr>
      <w:tblGrid>
        <w:gridCol w:w="3544"/>
        <w:gridCol w:w="1202"/>
        <w:gridCol w:w="1193"/>
        <w:gridCol w:w="1193"/>
        <w:gridCol w:w="1193"/>
        <w:gridCol w:w="1213"/>
        <w:gridCol w:w="996"/>
        <w:gridCol w:w="996"/>
        <w:gridCol w:w="996"/>
        <w:gridCol w:w="996"/>
        <w:gridCol w:w="996"/>
        <w:gridCol w:w="996"/>
        <w:gridCol w:w="22"/>
      </w:tblGrid>
      <w:tr>
        <w:tblPrEx/>
        <w:trPr>
          <w:gridAfter w:val="1"/>
          <w:trHeight w:val="795"/>
          <w:tblHeader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Наименование индикатора развития системы теплоснабжения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Единица измерения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</w:t>
            </w:r>
            <w:r>
              <w:rPr>
                <w:bCs/>
                <w:sz w:val="22"/>
                <w:szCs w:val="22"/>
              </w:rPr>
              <w:t xml:space="preserve">3</w:t>
            </w:r>
            <w:r>
              <w:rPr>
                <w:bCs/>
                <w:sz w:val="22"/>
                <w:szCs w:val="22"/>
              </w:rPr>
              <w:br/>
              <w:t xml:space="preserve">факт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</w:t>
            </w:r>
            <w:r>
              <w:rPr>
                <w:bCs/>
                <w:sz w:val="22"/>
                <w:szCs w:val="22"/>
              </w:rPr>
              <w:t xml:space="preserve">4</w:t>
            </w:r>
            <w:r>
              <w:rPr>
                <w:bCs/>
                <w:sz w:val="22"/>
                <w:szCs w:val="22"/>
              </w:rPr>
              <w:br/>
              <w:t xml:space="preserve">факт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</w:t>
            </w:r>
            <w:r>
              <w:rPr>
                <w:bCs/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</w:t>
            </w:r>
            <w:r>
              <w:rPr>
                <w:bCs/>
                <w:sz w:val="22"/>
                <w:szCs w:val="22"/>
              </w:rPr>
              <w:t xml:space="preserve">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</w:t>
            </w:r>
            <w:r>
              <w:rPr>
                <w:bCs/>
                <w:sz w:val="22"/>
                <w:szCs w:val="22"/>
              </w:rPr>
              <w:t xml:space="preserve">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</w:t>
            </w:r>
            <w:r>
              <w:rPr>
                <w:bCs/>
                <w:sz w:val="22"/>
                <w:szCs w:val="22"/>
              </w:rPr>
              <w:t xml:space="preserve">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</w:t>
            </w:r>
            <w:r>
              <w:rPr>
                <w:sz w:val="22"/>
                <w:szCs w:val="22"/>
              </w:rPr>
              <w:t xml:space="preserve">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</w:t>
            </w:r>
            <w:r>
              <w:rPr>
                <w:bCs/>
                <w:sz w:val="22"/>
                <w:szCs w:val="22"/>
              </w:rPr>
              <w:t xml:space="preserve">30</w:t>
            </w:r>
            <w:r>
              <w:rPr>
                <w:bCs/>
                <w:sz w:val="22"/>
                <w:szCs w:val="22"/>
              </w:rPr>
              <w:t xml:space="preserve">-203</w:t>
            </w:r>
            <w:r>
              <w:rPr>
                <w:bCs/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</w:t>
            </w:r>
            <w:r>
              <w:rPr>
                <w:bCs/>
                <w:sz w:val="22"/>
                <w:szCs w:val="22"/>
              </w:rPr>
              <w:t xml:space="preserve">5</w:t>
            </w:r>
            <w:r>
              <w:rPr>
                <w:bCs/>
                <w:sz w:val="22"/>
                <w:szCs w:val="22"/>
              </w:rPr>
              <w:t xml:space="preserve">-203</w:t>
            </w:r>
            <w:r>
              <w:rPr>
                <w:bCs/>
                <w:sz w:val="22"/>
                <w:szCs w:val="22"/>
              </w:rPr>
              <w:t xml:space="preserve">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</w:t>
            </w:r>
            <w:r>
              <w:rPr>
                <w:bCs/>
                <w:sz w:val="22"/>
                <w:szCs w:val="22"/>
              </w:rPr>
              <w:t xml:space="preserve">40</w:t>
            </w:r>
            <w:r>
              <w:rPr>
                <w:bCs/>
                <w:sz w:val="22"/>
                <w:szCs w:val="22"/>
              </w:rPr>
              <w:t xml:space="preserve">-2041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12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 прекращений теплоносителя в результате технологических нарушений на тепловых сетях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единица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12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 прекращений теплоносителя в результате технологических нарушений на источниках тепловой энергии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единица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15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Удельный расход условного топлива на единицу тепловой энергии, отпускаемой с коллекторов источников тепловой энергии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 у.т./Гкал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213,0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218,6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218,6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218,6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218,6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218,6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218,6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218,6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3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Отношение величины технологических потерь тепловой энергии, теплоносителя к материальной характеристике тепловой сети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Гкал/м</w:t>
            </w:r>
            <w:r>
              <w:rPr>
                <w:sz w:val="22"/>
                <w:szCs w:val="22"/>
                <w:vertAlign w:val="superscript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2 (ШПЗ)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Гкал/м</w:t>
            </w:r>
            <w:r>
              <w:rPr>
                <w:sz w:val="22"/>
                <w:szCs w:val="22"/>
                <w:vertAlign w:val="superscript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3 (Мелькомбинат)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Гкал/м</w:t>
            </w:r>
            <w:r>
              <w:rPr>
                <w:sz w:val="22"/>
                <w:szCs w:val="22"/>
                <w:vertAlign w:val="superscript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4 (Экспедиция 5)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Гкал/м</w:t>
            </w:r>
            <w:r>
              <w:rPr>
                <w:sz w:val="22"/>
                <w:szCs w:val="22"/>
                <w:vertAlign w:val="superscript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5 (Совхоз)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Гкал/м</w:t>
            </w:r>
            <w:r>
              <w:rPr>
                <w:sz w:val="22"/>
                <w:szCs w:val="22"/>
                <w:vertAlign w:val="superscript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3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Коэффициент использования установленной тепловой мощности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0,268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2 (ШПЗ)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0,307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3 (Мелькомбинат)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0,160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0,160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0,160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0,160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4 (Экспедиция 5)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0,315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5 (Совхоз)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0,176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12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Удельная материальная характеристика тепловых сетей, приведенная к расчетной тепловой нагрузке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</w:t>
            </w:r>
            <w:r>
              <w:rPr>
                <w:sz w:val="22"/>
                <w:szCs w:val="22"/>
                <w:vertAlign w:val="superscript"/>
              </w:rPr>
              <w:t xml:space="preserve">2</w:t>
            </w:r>
            <w:r>
              <w:rPr>
                <w:sz w:val="22"/>
                <w:szCs w:val="22"/>
              </w:rPr>
              <w:t xml:space="preserve">/Гкал/ч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9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Доля тепловой энергии, выработанной в комбинированном режиме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 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6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Коэффициент использования теплоты топлива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 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15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Доля отпуска тепловой энергии, осуществляемого потребителям по приборам учета, в общем объеме отпущенной тепловой энергии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  <w:t xml:space="preserve">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3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Средневзвешенный (по материальной характеристике) срок эксплуатации тепловых сетей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лет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2 (ШПЗ)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лет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3 (Мелькомбинат)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лет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4 (Экспедиция 5)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лет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5 (Совхоз)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лет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3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Отношение материальной характеристики тепловых сетей, реконструированных за год, к общей материальной характеристике тепловых сетей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2 (ШПЗ)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3 (Мелькомбинат)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4 (Экспедиция 5)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5 (Совхоз)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3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Отношение установленной тепловой мощности оборудования источников тепловой энергии, реконструированного за год, к общей установленной тепловой мощности источников тепловой энергии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2 (ШПЗ)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3 (Мелькомбинат)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4 (Экспедиция 5)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5 (Совхоз)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396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Зафиксированные факты нарушения анти</w:t>
            </w:r>
            <w:r>
              <w:rPr>
                <w:sz w:val="22"/>
                <w:szCs w:val="22"/>
              </w:rPr>
              <w:t xml:space="preserve">монопольного законодательства, применение санкций, предусмотренных Кодексом РФ об административных правонарушениях за нарушение законодательства РФ в сфере теплоснабжения, антимонопольного законодательства РФ, законодательства РФ об естественных монополиях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единица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contextualSpacing/>
        <w:ind w:firstLine="709"/>
        <w:jc w:val="center"/>
        <w:keepLines/>
        <w:keepNext/>
        <w:spacing w:after="120"/>
        <w:widowControl w:val="off"/>
        <w:rPr>
          <w:bCs/>
          <w:caps/>
          <w:szCs w:val="26"/>
        </w:rPr>
        <w:sectPr>
          <w:footnotePr/>
          <w:endnotePr/>
          <w:type w:val="nextPage"/>
          <w:pgSz w:w="16838" w:h="11906" w:orient="landscape"/>
          <w:pgMar w:top="1418" w:right="851" w:bottom="737" w:left="851" w:header="340" w:footer="0" w:gutter="0"/>
          <w:cols w:num="1" w:sep="0" w:space="708" w:equalWidth="1"/>
          <w:docGrid w:linePitch="360"/>
          <w:titlePg/>
        </w:sectPr>
        <w:outlineLvl w:val="1"/>
      </w:pPr>
      <w:r>
        <w:rPr>
          <w:bCs/>
          <w:caps/>
          <w:szCs w:val="26"/>
        </w:rPr>
      </w:r>
      <w:r>
        <w:rPr>
          <w:bCs/>
          <w:caps/>
          <w:szCs w:val="26"/>
        </w:rPr>
      </w:r>
      <w:r>
        <w:rPr>
          <w:bCs/>
          <w:caps/>
          <w:szCs w:val="26"/>
        </w:rPr>
      </w:r>
    </w:p>
    <w:p>
      <w:pPr>
        <w:contextualSpacing/>
        <w:ind w:firstLine="709"/>
        <w:jc w:val="center"/>
        <w:keepLines/>
        <w:keepNext/>
        <w:spacing w:after="120"/>
        <w:widowControl w:val="off"/>
        <w:rPr>
          <w:bCs/>
          <w:caps/>
          <w:szCs w:val="26"/>
        </w:rPr>
        <w:outlineLvl w:val="1"/>
      </w:pPr>
      <w:r/>
      <w:bookmarkStart w:id="56" w:name="_Toc149055013"/>
      <w:r>
        <w:rPr>
          <w:bCs/>
          <w:caps/>
          <w:szCs w:val="26"/>
        </w:rPr>
        <w:t xml:space="preserve">РАЗДЕЛ 15. ЦЕНОВЫЕ (ТАРИФНЫЕ) ПОСЛЕДСТВИЯ</w:t>
      </w:r>
      <w:bookmarkEnd w:id="56"/>
      <w:r>
        <w:rPr>
          <w:bCs/>
          <w:caps/>
          <w:szCs w:val="26"/>
        </w:rPr>
      </w:r>
      <w:r>
        <w:rPr>
          <w:bCs/>
          <w:caps/>
          <w:szCs w:val="26"/>
        </w:rPr>
      </w:r>
    </w:p>
    <w:p>
      <w:pPr>
        <w:contextualSpacing/>
        <w:ind w:firstLine="709"/>
        <w:jc w:val="center"/>
        <w:keepLines/>
        <w:keepNext/>
        <w:spacing w:after="120"/>
        <w:widowControl w:val="off"/>
        <w:rPr>
          <w:bCs/>
          <w:caps/>
          <w:szCs w:val="26"/>
        </w:rPr>
        <w:outlineLvl w:val="1"/>
      </w:pPr>
      <w:r>
        <w:rPr>
          <w:bCs/>
          <w:caps/>
          <w:szCs w:val="26"/>
        </w:rPr>
      </w:r>
      <w:r>
        <w:rPr>
          <w:bCs/>
          <w:caps/>
          <w:szCs w:val="26"/>
        </w:rPr>
      </w:r>
      <w:r>
        <w:rPr>
          <w:bCs/>
          <w:caps/>
          <w:szCs w:val="26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Основным направлением развития системы централизованного теплоснабжения выбрано реализация мероприятий по сохранению существующей системы, с проведением работ по ремонту оборудования, заменой и модернизацией ненадежных участков тепловых сетей.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соответствии с действующим в сфере государственного ценового регулирования законодательством тариф на теп</w:t>
      </w:r>
      <w:r>
        <w:rPr>
          <w:rFonts w:eastAsiaTheme="minorHAnsi"/>
          <w:lang w:eastAsia="en-US"/>
        </w:rPr>
        <w:t xml:space="preserve">ловую энергию, отпускаемую организацией, должен обеспечивать покрытие как экономически обоснованных расходов организации, так и обеспечивать достаточные средства для финансирования мероприятий по надежному функционированию и развитию систем теплоснабжения.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Тариф устанав</w:t>
      </w:r>
      <w:r>
        <w:rPr>
          <w:rFonts w:eastAsiaTheme="minorHAnsi"/>
          <w:lang w:eastAsia="en-US"/>
        </w:rPr>
        <w:t xml:space="preserve">ливается органом исполнительной власти субъекта Российской Федерации в области государственного регулирования цен (тарифов) с учетом изменения экономически обоснованных расходов организации и возможных изменений условий реализации инвестиционной программы.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Законодательством определен ме</w:t>
      </w:r>
      <w:r>
        <w:rPr>
          <w:rFonts w:eastAsiaTheme="minorHAnsi"/>
          <w:lang w:eastAsia="en-US"/>
        </w:rPr>
        <w:t xml:space="preserve">ханизм ограничения предельной величины тарифов путем установления ежегодных предельных индексов роста, а также механизм ограничения предельной величины платы за жилищно-коммунальные услуги для граждан путем установления ежегодных предельных индексов роста.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Решение об установлении для организации тарифов на уровне выше предельного максимального принимается органом исполнит</w:t>
      </w:r>
      <w:r>
        <w:rPr>
          <w:rFonts w:eastAsiaTheme="minorHAnsi"/>
          <w:lang w:eastAsia="en-US"/>
        </w:rPr>
        <w:t xml:space="preserve">ельной власти субъекта Российской Федерации в области государственного регулирования тарифов (цен) самостоятельно и не требует согласования с федеральным органом исполнительной власти в области государственного регулирования тарифов в сфере теплоснабжения.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HAnsi"/>
          <w:lang w:eastAsia="en-US"/>
        </w:rPr>
        <w:t xml:space="preserve">Анализ влияния реализации проектов Схемы теплоснабжения, предлагаемых к включению в инвестиционную</w:t>
      </w:r>
      <w:r>
        <w:rPr>
          <w:rFonts w:eastAsiaTheme="minorHAnsi"/>
          <w:lang w:eastAsia="en-US"/>
        </w:rPr>
        <w:t xml:space="preserve"> программу теплоснабжающих организаций, выполнен по результатам прогнозного расчета необходимой валовой выручки. При этом необходимо отметить, что Схема теплоснабжения является предпроектным документом, а утверждаемый тариф на тепловую энергию в рамках рег</w:t>
      </w:r>
      <w:r>
        <w:rPr>
          <w:rFonts w:eastAsiaTheme="minorHAnsi"/>
          <w:lang w:eastAsia="en-US"/>
        </w:rPr>
        <w:t xml:space="preserve">улирования зависит от установленного предельного индекса изменения размера платы граждан за коммунальные услуги. Долгосрочные параметры регулирования и тарифов на тепловую энергию на 2022- 2026 годы утверждены приказами Службы по тарифам Иркутской области: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1) Приказ Службы по тарифам Иркутской области от 20 декабря 2021 года № 79-413-спр «Об уста</w:t>
      </w:r>
      <w:r>
        <w:rPr>
          <w:rFonts w:eastAsiaTheme="minorHAnsi"/>
          <w:lang w:eastAsia="en-US"/>
        </w:rPr>
        <w:t xml:space="preserve">новлении долгосрочных тарифов на тепловую энергию в отношении единой теплоснабжающей организации на территории Тайшетского муниципального образования «Тайшетское городское поселение» в соответствующей зоне деятельности» (АО "Байкалэнерго", ИНН 3808108339) </w:t>
      </w:r>
      <w:r>
        <w:t xml:space="preserve">(в редакции № 79-362-спр от 25 ноября 2022 года);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2) Приказ Службы по тарифам Иркутской области от 28 ноября 2022 года № 79-556-спр «Об установлении долгосрочных тарифов на тепловую энергию, поставляемую потребителям ОАО "РЖД" (ИНН 7708503727) на территории Иркутской области»;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3) Приказ Службы по тарифам Иркутской области от 09 декабря 2021 года № 79-351-спр «Об установлении долгосрочных тарифов на тепловую энергию, поставляемую потребителям ОАО «Иркутская электросетевая компания» (ИНН 3812122706)»</w:t>
      </w:r>
      <w:r>
        <w:t xml:space="preserve"> (в редакции № 79-427-спр  от 28 ноября 2022 года).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="Calibri"/>
          <w:spacing w:val="-1"/>
          <w:lang w:eastAsia="en-US"/>
        </w:rPr>
        <w:t xml:space="preserve">Динамика</w:t>
      </w:r>
      <w:r>
        <w:rPr>
          <w:rFonts w:eastAsiaTheme="minorEastAsia"/>
          <w:shd w:val="clear" w:color="auto" w:fill="ffffff"/>
        </w:rPr>
        <w:t xml:space="preserve"> утвержденных цен (тарифов), установленных Службой по тарифам Иркутской области на тепловую энергию </w:t>
      </w:r>
      <w:r>
        <w:rPr>
          <w:rFonts w:eastAsia="Calibri"/>
          <w:spacing w:val="-1"/>
          <w:lang w:eastAsia="en-US"/>
        </w:rPr>
        <w:t xml:space="preserve">энергоснабжающих организаций города Тайшета, </w:t>
      </w:r>
      <w:r>
        <w:rPr>
          <w:rFonts w:eastAsiaTheme="minorEastAsia"/>
          <w:shd w:val="clear" w:color="auto" w:fill="ffffff"/>
        </w:rPr>
        <w:t xml:space="preserve">представлена в Таблице 33 части 11 главы 1 и </w:t>
      </w:r>
      <w:r>
        <w:rPr>
          <w:rFonts w:eastAsiaTheme="minorHAnsi"/>
          <w:lang w:eastAsia="en-US"/>
        </w:rPr>
        <w:t xml:space="preserve">в главе 14 </w:t>
      </w:r>
      <w:r>
        <w:rPr>
          <w:rFonts w:eastAsiaTheme="minorEastAsia"/>
          <w:shd w:val="clear" w:color="auto" w:fill="ffffff"/>
        </w:rPr>
        <w:t xml:space="preserve">Обосновывающих материалов.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Расчеты ценовых последствий являются о</w:t>
      </w:r>
      <w:r>
        <w:rPr>
          <w:rFonts w:eastAsiaTheme="minorHAnsi"/>
          <w:lang w:eastAsia="en-US"/>
        </w:rPr>
        <w:t xml:space="preserve">ценочными (предварительными) расчетами ценовых последствий при реализации мероприятий, с учетом прогнозных показателей социально-экономического развития и носят рекомендательную направленность. Ценовые последствия могут изменяться в зависимости от условий </w:t>
      </w:r>
      <w:r>
        <w:rPr>
          <w:rFonts w:eastAsiaTheme="minorHAnsi"/>
          <w:lang w:eastAsia="en-US"/>
        </w:rPr>
        <w:t xml:space="preserve">социально-экономического развития Иркутской области и Тайшетского городского поселения.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Таким образом, ценовые последствия рассчитываются исключите</w:t>
      </w:r>
      <w:r>
        <w:rPr>
          <w:rFonts w:eastAsiaTheme="minorHAnsi"/>
          <w:lang w:eastAsia="en-US"/>
        </w:rPr>
        <w:t xml:space="preserve">льно для оценки эффективности предлагаемых программ развития и модернизации систем теплоснабжения муниципального образования и должны корректироваться ежегодно. Более подробно ценовые (тарифные) последствия рассмотрены в главе 14 Обосновывающих материалов.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widowControl w:val="off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widowControl w:val="off"/>
      </w:pPr>
      <w:r/>
      <w:bookmarkStart w:id="57" w:name="_Toc149055589"/>
      <w:r>
        <w:t xml:space="preserve">КНИГА 2</w:t>
      </w:r>
      <w:r/>
    </w:p>
    <w:p>
      <w:pPr>
        <w:jc w:val="center"/>
        <w:tabs>
          <w:tab w:val="left" w:pos="1276" w:leader="none"/>
          <w:tab w:val="right" w:pos="9923" w:leader="dot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  <w:r>
        <w:rPr>
          <w:rFonts w:eastAsia="Calibri"/>
          <w:lang w:eastAsia="en-US"/>
        </w:rPr>
      </w:r>
    </w:p>
    <w:p>
      <w:pPr>
        <w:contextualSpacing/>
        <w:jc w:val="center"/>
        <w:keepLines/>
        <w:keepNext/>
        <w:widowControl w:val="off"/>
        <w:rPr>
          <w:rFonts w:eastAsiaTheme="majorEastAsia"/>
          <w:bCs/>
          <w:caps/>
          <w:szCs w:val="26"/>
        </w:rPr>
      </w:pPr>
      <w:r/>
      <w:bookmarkStart w:id="58" w:name="_Toc128987180"/>
      <w:r>
        <w:rPr>
          <w:rFonts w:eastAsiaTheme="majorEastAsia"/>
          <w:bCs/>
          <w:caps/>
          <w:szCs w:val="26"/>
        </w:rPr>
        <w:t xml:space="preserve">ОБОСНОВЫВАЮЩИЕ МАТЕРИАЛЫ К СХЕМЕ ТЕПЛОСНАБЖЕНИЯ Тайшетского муниципального образования «тайшетское городское поселение»</w:t>
      </w:r>
      <w:bookmarkEnd w:id="58"/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contextualSpacing/>
        <w:jc w:val="center"/>
        <w:keepLines/>
        <w:keepNext/>
        <w:widowControl w:val="off"/>
        <w:rPr>
          <w:rFonts w:eastAsiaTheme="majorEastAsia"/>
          <w:bCs/>
          <w:caps/>
          <w:szCs w:val="26"/>
        </w:rPr>
      </w:pP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contextualSpacing/>
        <w:jc w:val="center"/>
        <w:keepLines/>
        <w:keepNext/>
        <w:widowControl w:val="off"/>
        <w:rPr>
          <w:rFonts w:eastAsiaTheme="majorEastAsia"/>
          <w:bCs/>
          <w:caps/>
          <w:szCs w:val="26"/>
        </w:rPr>
      </w:pPr>
      <w:r>
        <w:rPr>
          <w:rFonts w:eastAsiaTheme="majorEastAsia"/>
          <w:bCs/>
          <w:caps/>
          <w:szCs w:val="26"/>
        </w:rPr>
        <w:t xml:space="preserve">ГЛАВА 1. СУЩЕСТВУЮЩЕЕ ПОЛОЖЕНИЕ В СФЕРЕ ПРОИЗВОДСТВА, ПЕРЕДАЧИ И ПОТРЕБЛЕНИЯ ТЕПЛОВОЙ ЭНЕРГИИ ДЛЯ ЦЕЛЕЙ ТЕПЛОСНАБЖЕНИЯ</w:t>
      </w:r>
      <w:bookmarkEnd w:id="57"/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contextualSpacing/>
        <w:jc w:val="center"/>
        <w:keepLines/>
        <w:keepNext/>
        <w:widowControl w:val="off"/>
        <w:rPr>
          <w:rFonts w:eastAsiaTheme="majorEastAsia"/>
          <w:bCs/>
          <w:caps/>
          <w:szCs w:val="26"/>
        </w:rPr>
      </w:pP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jc w:val="center"/>
        <w:keepLines/>
        <w:keepNext/>
        <w:widowControl w:val="off"/>
        <w:rPr>
          <w:rFonts w:eastAsiaTheme="majorEastAsia"/>
          <w:bCs/>
        </w:rPr>
      </w:pPr>
      <w:r/>
      <w:bookmarkStart w:id="59" w:name="_Toc149055590"/>
      <w:r>
        <w:rPr>
          <w:rFonts w:eastAsiaTheme="majorEastAsia"/>
          <w:bCs/>
        </w:rPr>
        <w:t xml:space="preserve">Часть 1. Функциональная структура теплоснабжения</w:t>
      </w:r>
      <w:bookmarkEnd w:id="59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На территории Тайшетского городского поселения функционируют 5 муниципальных котельных, находящихся </w:t>
      </w:r>
      <w:r>
        <w:rPr>
          <w:rFonts w:eastAsia="Calibri"/>
          <w:lang w:eastAsia="en-US"/>
        </w:rPr>
        <w:t xml:space="preserve">по концессионному соглашению и договору безвозмездного пользования </w:t>
      </w:r>
      <w:r>
        <w:rPr>
          <w:rFonts w:eastAsiaTheme="minorHAnsi"/>
          <w:lang w:eastAsia="en-US"/>
        </w:rPr>
        <w:t xml:space="preserve">в эксплуатации </w:t>
      </w:r>
      <w:r>
        <w:rPr>
          <w:shd w:val="clear" w:color="auto" w:fill="ffffff"/>
        </w:rPr>
        <w:t xml:space="preserve">обособленного предприятия «Тайшетские тепловые сети» АО «Байкалэнерго» (далее – ОП «ТТС» АО «Байкалэнерго»)</w:t>
      </w:r>
      <w:r>
        <w:rPr>
          <w:rFonts w:eastAsiaTheme="minorHAnsi"/>
          <w:lang w:eastAsia="en-US"/>
        </w:rPr>
        <w:t xml:space="preserve">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Теплоснабжение северо-западного района города осуществляется от ведомственной электрокотельной </w:t>
      </w:r>
      <w:r>
        <w:rPr>
          <w:shd w:val="clear" w:color="auto" w:fill="ffffff"/>
        </w:rPr>
        <w:t xml:space="preserve">Тайшетского </w:t>
      </w:r>
      <w:r>
        <w:rPr>
          <w:rFonts w:eastAsiaTheme="minorHAnsi"/>
          <w:lang w:eastAsia="en-US"/>
        </w:rPr>
        <w:t xml:space="preserve">территориального</w:t>
      </w:r>
      <w:r>
        <w:rPr>
          <w:shd w:val="clear" w:color="auto" w:fill="ffffff"/>
        </w:rPr>
        <w:t xml:space="preserve"> участка Восточно-Сибирской дирекции по тепловодоснабжению филиала ОАО «РЖД» (далее – </w:t>
      </w:r>
      <w:r>
        <w:t xml:space="preserve">ДТВ ОАО «РЖД»)</w:t>
      </w:r>
      <w:r>
        <w:rPr>
          <w:rFonts w:eastAsiaTheme="minorHAnsi"/>
          <w:lang w:eastAsia="en-US"/>
        </w:rPr>
        <w:t xml:space="preserve">, объекты по улице Энергетиков – </w:t>
      </w:r>
      <w:r>
        <w:rPr>
          <w:shd w:val="clear" w:color="auto" w:fill="ffffff"/>
        </w:rPr>
        <w:t xml:space="preserve">филиал ОАО ИЭСК «Западные электрические сети» (далее – ПС-500)</w:t>
      </w:r>
      <w:r>
        <w:rPr>
          <w:rFonts w:eastAsiaTheme="minorHAnsi"/>
          <w:lang w:eastAsia="en-US"/>
        </w:rPr>
        <w:t xml:space="preserve">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contextualSpacing/>
        <w:ind w:firstLine="709"/>
        <w:jc w:val="both"/>
        <w:widowControl w:val="off"/>
        <w:rPr>
          <w:rFonts w:eastAsiaTheme="minorEastAsia"/>
        </w:rPr>
      </w:pPr>
      <w:r>
        <w:rPr>
          <w:rFonts w:eastAsiaTheme="minorEastAsia"/>
        </w:rPr>
        <w:t xml:space="preserve">1) Котельная №1 (ТКСИ), расположенная по улице Индустриальная, 3/1.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Является основным поставщиком тепловой энергии микрорайонов Новый, имени Пахотищева, имени Мясникова, село Старый Акульшет, микрорайон Солнечный, улицы Индустриальная и Архитекторов, а также части улиц </w:t>
      </w:r>
      <w:r>
        <w:rPr>
          <w:rFonts w:eastAsiaTheme="minorHAnsi"/>
          <w:lang w:eastAsia="en-US"/>
        </w:rPr>
        <w:t xml:space="preserve">в Северном районе. И имеет тепловые сети в двухтрубном исполнении общей протяженностью 10,04</w:t>
      </w:r>
      <w:r>
        <w:rPr>
          <w:rFonts w:eastAsiaTheme="minorHAnsi"/>
          <w:lang w:eastAsia="en-US"/>
        </w:rPr>
        <w:t xml:space="preserve">1</w:t>
      </w:r>
      <w:r>
        <w:rPr>
          <w:rFonts w:eastAsiaTheme="minorHAnsi"/>
          <w:lang w:eastAsia="en-US"/>
        </w:rPr>
        <w:t xml:space="preserve"> км.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2) Котельная №2 (ШПЗ) поставляет тепловую энергию</w:t>
      </w:r>
      <w:r>
        <w:rPr>
          <w:rFonts w:eastAsiaTheme="minorHAnsi"/>
          <w:lang w:eastAsia="en-US"/>
        </w:rPr>
        <w:t xml:space="preserve"> потребителям, расположенным от ручья Крутенький в Центральном районе, жилой район 51 квартала в Северо-Западном районе города. С Южной стороны зона действия ограничена железной дорогой. Имеет тепловые сети в двухтрубном исполнении общей протяженностью 13,</w:t>
      </w:r>
      <w:r>
        <w:rPr>
          <w:rFonts w:eastAsiaTheme="minorHAnsi"/>
          <w:lang w:eastAsia="en-US"/>
        </w:rPr>
        <w:t xml:space="preserve">954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3) Котельная №3 (Мелькомбинат) осуществляет теплоснабжение южной части города в районе улиц Пушкина, Ленина, Воинов интернационалистов, Комсомольской, Свердлова. Имеет тепловые сети в двухтрубном исполнении общей протяженностью 3,266 км.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4) Котельная №4 (Экспедиция №5) осуществляет теплоснабжение южной части города в районе улиц Тимирязева, 19-го Партсъезда, Советской. Имеет тепловые сети в двухтрубном исполнении общей протяженностью </w:t>
      </w:r>
      <w:r>
        <w:rPr>
          <w:rFonts w:eastAsiaTheme="minorHAnsi"/>
          <w:lang w:eastAsia="en-US"/>
        </w:rPr>
        <w:t xml:space="preserve">1</w:t>
      </w:r>
      <w:r>
        <w:rPr>
          <w:rFonts w:eastAsiaTheme="minorHAnsi"/>
          <w:lang w:eastAsia="en-US"/>
        </w:rPr>
        <w:t xml:space="preserve">,9</w:t>
      </w:r>
      <w:r>
        <w:rPr>
          <w:rFonts w:eastAsiaTheme="minorHAnsi"/>
          <w:lang w:eastAsia="en-US"/>
        </w:rPr>
        <w:t xml:space="preserve">65</w:t>
      </w:r>
      <w:r>
        <w:rPr>
          <w:rFonts w:eastAsiaTheme="minorHAnsi"/>
          <w:lang w:eastAsia="en-US"/>
        </w:rPr>
        <w:t xml:space="preserve"> км.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5) Котельная №5 (Совхоз) снабжает теплом часть жилищного фонда в Северном районе города по улицам Капустина, Северная и Ключевая. Имеет тепловые сети в двухтрубном исполнении общей протяженностью 1,241 км.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6) Электрокотельная ДТВ ОАО</w:t>
      </w:r>
      <w:r>
        <w:rPr>
          <w:rFonts w:eastAsiaTheme="minorHAnsi"/>
          <w:lang w:eastAsia="en-US"/>
        </w:rPr>
        <w:t xml:space="preserve"> «РЖД» осуществляет теплоснабжение объектов ОАО «РЖД», многоквартирного дома №2 по улице Осипенко и четыре дома индивидуального жилищного сектора по улице Дарвина и улице Пугачева. Имеет тепловые сети в двухтрубном исполнении общей протяженностью 2,113 км.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7) Электрокотельная ПС-500 осуществляет теплоснабжение объектов по улице Энергетиков. Имеет тепловые сети в двухтрубном исполнении общей протяженностью 0,885 км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Общая протяженность тепловых сетей, проложенных на территории Тайшетского городского поселения, составляет </w:t>
      </w:r>
      <w:r>
        <w:rPr>
          <w:rFonts w:eastAsiaTheme="minorHAnsi"/>
          <w:lang w:eastAsia="en-US"/>
        </w:rPr>
        <w:t xml:space="preserve">30,456</w:t>
      </w:r>
      <w:r>
        <w:rPr>
          <w:rFonts w:eastAsiaTheme="minorHAnsi"/>
          <w:lang w:eastAsia="en-US"/>
        </w:rPr>
        <w:t xml:space="preserve"> км.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Схема тепловых сетей от всех источников тепловой энергии двухтрубная, закрытая, кроме тепловых сетей от котельной №1(ТКСИ) – система открытая. Цен</w:t>
      </w:r>
      <w:r>
        <w:rPr>
          <w:rFonts w:eastAsiaTheme="minorHAnsi"/>
          <w:lang w:eastAsia="en-US"/>
        </w:rPr>
        <w:t xml:space="preserve">тральных тепловых пунктов нет. Ряд предприятий Тайшетского городского поселения имеют собственные источники тепловой энергии, которые используются для обеспечения собственных потребностей в тепловой энергии и не являются поставщиками коммунальных ресурсов.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Теплоснабжение малоэтажных жилых домов, индивидуальных жилых домов и общественных зданий, расположенных на территории Тайшетского</w:t>
      </w:r>
      <w:r>
        <w:rPr>
          <w:rFonts w:eastAsiaTheme="minorHAnsi"/>
          <w:lang w:eastAsia="en-US"/>
        </w:rPr>
        <w:t xml:space="preserve"> городского поселения, не подключенных к муниципальным котельным Тайшетского городского поселения, осуществляется от индивидуальных источников тепловой энергии - индивидуальных котельных агрегатов и печей, работающих на угле буром, дровах и электроэнергии.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Производственные котельные на территории Тайшетского городского поселения отсутствуют.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Муниципальные котельные Тайшетского городского поселения и тепловые сети находятся в муниципальной собственности Тайшетского городского поселения. Эксплуатацию и обслуживание муниципальных котельных и тепловых сетей для зон теплоснабжения </w:t>
      </w:r>
      <w:r>
        <w:rPr>
          <w:rFonts w:eastAsiaTheme="minorEastAsia"/>
          <w:shd w:val="clear" w:color="auto" w:fill="ffffff"/>
        </w:rPr>
        <w:t xml:space="preserve">№1, №2, №3, №4, №5 </w:t>
      </w:r>
      <w:r>
        <w:rPr>
          <w:rFonts w:eastAsiaTheme="minorHAnsi"/>
          <w:lang w:eastAsia="en-US"/>
        </w:rPr>
        <w:t xml:space="preserve">осуществляет единая теплоснабжающая организация ОП «ТТС» </w:t>
      </w:r>
      <w:r>
        <w:rPr>
          <w:rFonts w:eastAsiaTheme="minorEastAsia"/>
          <w:shd w:val="clear" w:color="auto" w:fill="ffffff"/>
        </w:rPr>
        <w:t xml:space="preserve">АО «Байкалэнерго»</w:t>
      </w:r>
      <w:r>
        <w:rPr>
          <w:rFonts w:eastAsiaTheme="minorHAnsi"/>
          <w:lang w:eastAsia="en-US"/>
        </w:rPr>
        <w:t xml:space="preserve">». Зону №6 обслуживает </w:t>
      </w:r>
      <w:r>
        <w:t xml:space="preserve">ДТВ ОАО «РЖД»</w:t>
      </w:r>
      <w:r>
        <w:rPr>
          <w:rFonts w:eastAsiaTheme="minorEastAsia"/>
          <w:shd w:val="clear" w:color="auto" w:fill="ffffff"/>
        </w:rPr>
        <w:t xml:space="preserve">, зону №7 – </w:t>
      </w:r>
      <w:r>
        <w:rPr>
          <w:shd w:val="clear" w:color="auto" w:fill="ffffff"/>
        </w:rPr>
        <w:t xml:space="preserve">ПС-500</w:t>
      </w:r>
      <w:r>
        <w:rPr>
          <w:rFonts w:eastAsiaTheme="minorEastAsia"/>
          <w:shd w:val="clear" w:color="auto" w:fill="ffffff"/>
        </w:rPr>
        <w:t xml:space="preserve">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Графические материалы с обозначением </w:t>
      </w:r>
      <w:r>
        <w:rPr>
          <w:rFonts w:eastAsiaTheme="minorHAnsi"/>
          <w:lang w:eastAsia="en-US"/>
        </w:rPr>
        <w:t xml:space="preserve">зон действия котельных </w:t>
      </w:r>
      <w:r>
        <w:rPr>
          <w:shd w:val="clear" w:color="auto" w:fill="ffffff"/>
        </w:rPr>
        <w:t xml:space="preserve">ОП «ТТС» АО «Байкалэнерго»</w:t>
      </w:r>
      <w:r>
        <w:rPr>
          <w:rFonts w:eastAsiaTheme="minorHAnsi"/>
          <w:lang w:eastAsia="en-US"/>
        </w:rPr>
        <w:t xml:space="preserve">, </w:t>
      </w:r>
      <w:r>
        <w:rPr>
          <w:rFonts w:eastAsiaTheme="minorEastAsia"/>
          <w:shd w:val="clear" w:color="auto" w:fill="ffffff"/>
        </w:rPr>
        <w:t xml:space="preserve">Тайшетского территориального участка Восточно-Сибирской дирекции по тепловодоснабжению филиала ОАО «РЖД» и филиал ОАО «ИЭСК» «Западные электрические сети» представлены в Приложении 1 к Схеме теплоснабжения «</w:t>
      </w:r>
      <w:r>
        <w:rPr>
          <w:rFonts w:eastAsiaTheme="minorHAnsi"/>
          <w:lang w:eastAsia="en-US"/>
        </w:rPr>
        <w:t xml:space="preserve">Картографическая часть Схемы теплоснабжения».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keepLines/>
        <w:keepNext/>
        <w:widowControl w:val="off"/>
        <w:rPr>
          <w:rFonts w:eastAsiaTheme="majorEastAsia"/>
          <w:bCs/>
          <w:shd w:val="clear" w:color="auto" w:fill="ffffff"/>
        </w:rPr>
        <w:outlineLvl w:val="2"/>
      </w:pPr>
      <w:r/>
      <w:bookmarkStart w:id="60" w:name="_Toc149055591"/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</w:p>
    <w:p>
      <w:pPr>
        <w:jc w:val="center"/>
        <w:keepLines/>
        <w:keepNext/>
        <w:widowControl w:val="off"/>
        <w:rPr>
          <w:rFonts w:eastAsiaTheme="majorEastAsia"/>
          <w:bCs/>
          <w:shd w:val="clear" w:color="auto" w:fill="ffffff"/>
        </w:rPr>
        <w:outlineLvl w:val="2"/>
      </w:pPr>
      <w:r>
        <w:rPr>
          <w:rFonts w:eastAsiaTheme="majorEastAsia"/>
          <w:bCs/>
          <w:shd w:val="clear" w:color="auto" w:fill="ffffff"/>
        </w:rPr>
        <w:t xml:space="preserve">Часть 2. Источники тепловой энергии</w:t>
      </w:r>
      <w:bookmarkEnd w:id="60"/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  <w:tab w:val="left" w:pos="1276" w:leader="none"/>
          <w:tab w:val="right" w:pos="10348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Характеристика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представлена в Таблице 1.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right"/>
        <w:tabs>
          <w:tab w:val="left" w:pos="993" w:leader="none"/>
          <w:tab w:val="left" w:pos="1276" w:leader="none"/>
          <w:tab w:val="right" w:pos="10348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1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Характеристика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tbl>
      <w:tblPr>
        <w:tblStyle w:val="925"/>
        <w:tblW w:w="1038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842"/>
        <w:gridCol w:w="1276"/>
        <w:gridCol w:w="1668"/>
        <w:gridCol w:w="1735"/>
        <w:gridCol w:w="1310"/>
        <w:gridCol w:w="1276"/>
        <w:gridCol w:w="1276"/>
      </w:tblGrid>
      <w:tr>
        <w:tblPrEx/>
        <w:trPr/>
        <w:tc>
          <w:tcPr>
            <w:tcW w:w="184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Наименование муниципальной котельной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Целевое назначение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66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Назначение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735" w:type="dxa"/>
            <w:vAlign w:val="center"/>
            <w:textDirection w:val="lrTb"/>
            <w:noWrap w:val="false"/>
          </w:tcPr>
          <w:p>
            <w:pPr>
              <w:ind w:right="-108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Обеспечиваемый вид потребления тепловой энергии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310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Категория надежности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Категория потребителей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Период работы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tcW w:w="184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Котельная №1 (ТКСИ)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vMerge w:val="restart"/>
            <w:textDirection w:val="lrTb"/>
            <w:noWrap w:val="false"/>
          </w:tcPr>
          <w:p>
            <w:pPr>
              <w:ind w:left="-35"/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жилищно-коммунального хозяйства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66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отопительная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735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отопление, горячее водоснабжение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3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первая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вторая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круглогодичный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tcW w:w="184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Котельная №2 (ШПЗ)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66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отопительная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735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отопление, горячее водоснабжение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3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первая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вторая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круглогодичный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tcW w:w="184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Котельная №3 (Мелькомбинат)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66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отопительная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735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отопление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3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первая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вторая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отопительный период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tcW w:w="184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Котельная №4 (Экспедиция 5)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66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отопительная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735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отопление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3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первая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вторая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отопительный период</w:t>
            </w:r>
            <w:r/>
          </w:p>
        </w:tc>
      </w:tr>
      <w:tr>
        <w:tblPrEx/>
        <w:trPr/>
        <w:tc>
          <w:tcPr>
            <w:tcW w:w="184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Котельная №5 </w:t>
            </w:r>
            <w:r>
              <w:rPr>
                <w:rFonts w:ascii="Times New Roman" w:hAnsi="Times New Roman" w:cs="Times New Roman"/>
              </w:rPr>
              <w:t xml:space="preserve">(Совхоз)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66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отопительна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735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отопление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3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первая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вторая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отопитель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ный период</w:t>
            </w:r>
            <w:r/>
          </w:p>
        </w:tc>
      </w:tr>
      <w:tr>
        <w:tblPrEx/>
        <w:trPr/>
        <w:tc>
          <w:tcPr>
            <w:tcW w:w="1842" w:type="dxa"/>
            <w:vAlign w:val="center"/>
            <w:textDirection w:val="lrTb"/>
            <w:noWrap w:val="false"/>
          </w:tcPr>
          <w:p>
            <w:pPr>
              <w:ind w:left="-142"/>
              <w:jc w:val="center"/>
              <w:tabs>
                <w:tab w:val="left" w:pos="993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Электрокотельная ДТВ ОАО «РЖД»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66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отопительная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735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отопление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3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первая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вторая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отопительный период</w:t>
            </w:r>
            <w:r/>
          </w:p>
        </w:tc>
      </w:tr>
      <w:tr>
        <w:tblPrEx/>
        <w:trPr/>
        <w:tc>
          <w:tcPr>
            <w:tcW w:w="1842" w:type="dxa"/>
            <w:vAlign w:val="center"/>
            <w:textDirection w:val="lrTb"/>
            <w:noWrap w:val="false"/>
          </w:tcPr>
          <w:p>
            <w:pPr>
              <w:ind w:left="-142"/>
              <w:jc w:val="center"/>
              <w:tabs>
                <w:tab w:val="left" w:pos="993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Электрокотельная ПС-500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66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отопительная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735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отопление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3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первая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вторая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отопительный период</w:t>
            </w:r>
            <w:r/>
          </w:p>
        </w:tc>
      </w:tr>
    </w:tbl>
    <w:p>
      <w:pPr>
        <w:ind w:firstLine="709"/>
        <w:jc w:val="both"/>
        <w:tabs>
          <w:tab w:val="right" w:pos="9923" w:leader="dot"/>
        </w:tabs>
        <w:rPr>
          <w:rFonts w:eastAsiaTheme="minorEastAsia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right" w:pos="9923" w:leader="dot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Характеристика котельных агрегатов, установленных в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, представлена в Таблице 2.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jc w:val="right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 Таблица 2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Характеристика котельных агрегатов, установленных 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tbl>
      <w:tblPr>
        <w:tblW w:w="9923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1560"/>
        <w:gridCol w:w="1391"/>
        <w:gridCol w:w="1444"/>
        <w:gridCol w:w="1276"/>
        <w:gridCol w:w="1276"/>
        <w:gridCol w:w="1134"/>
      </w:tblGrid>
      <w:tr>
        <w:tblPrEx/>
        <w:trPr>
          <w:trHeight w:val="20"/>
        </w:trPr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Наименование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560" w:type="dxa"/>
            <w:vAlign w:val="center"/>
            <w:textDirection w:val="lrTb"/>
            <w:noWrap w:val="false"/>
          </w:tcPr>
          <w:p>
            <w:pPr>
              <w:ind w:right="-108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Марка котельного агрегата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39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Количество котельных агрегатов, шт.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4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Установленная проектная мощность, Гкал/ч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Располагаемая мощность, Гкал/ч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tabs>
                <w:tab w:val="left" w:pos="1276" w:leader="none"/>
                <w:tab w:val="left" w:pos="1877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Паспортный коэффициент полезного действия, %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Вид основного топлива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№1 (ТКСИ)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56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КЕ25-14С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39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4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56 (14х4)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34,8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86,6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Бурый уголь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470"/>
        </w:trPr>
        <w:tc>
          <w:tcPr>
            <w:tcW w:w="184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№2 (ШПЗ)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60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ДКВр 20-13С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39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4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33,6 (11,2х3)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39,2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85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Бурый уголь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184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56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КЕ10-14С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39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4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11,2 (5,6х2)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82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Бурый уголь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№3 (Мелькомбинат)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6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ДКВр 6,5-13С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39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4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7,4 (3,7х2)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7,4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83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Бурый уголь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№4 (Экспедиция 5)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60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КВм-1,25-115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39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4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1,93 (0,85; 1,08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1,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93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84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Бурый уголь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№5 (Совхоз)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6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КСВ-1,25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39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4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0,85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1,07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83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Бурый уголь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ДТВ ОАО «РЖД»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6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КЭВ-</w:t>
            </w:r>
            <w:r>
              <w:rPr>
                <w:rFonts w:eastAsiaTheme="minorEastAsia"/>
                <w:sz w:val="22"/>
                <w:szCs w:val="22"/>
                <w:lang w:eastAsia="en-US"/>
              </w:rPr>
              <w:t xml:space="preserve">6000/10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39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4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15,48 (5,16х3)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10,3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98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эл.энергия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ПС-500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6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КЭВ-250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39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4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0,86 (0,215х4)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0,86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98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эл.энергия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</w:tbl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Технические характеристики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представлены в Таблице 3.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jc w:val="right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3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993" w:leader="none"/>
          <w:tab w:val="left" w:pos="1276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Технические характеристики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tbl>
      <w:tblPr>
        <w:tblW w:w="0" w:type="auto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1843"/>
        <w:gridCol w:w="1559"/>
        <w:gridCol w:w="1559"/>
        <w:gridCol w:w="2410"/>
      </w:tblGrid>
      <w:tr>
        <w:tblPrEx/>
        <w:trPr/>
        <w:tc>
          <w:tcPr>
            <w:tcW w:w="269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Наименование муниципальной котельной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Марка котельного агрегата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tabs>
                <w:tab w:val="left" w:pos="993" w:leader="none"/>
                <w:tab w:val="left" w:pos="1734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Количество котельных агрегатов, шт.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Вид основного топлива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410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Температурный график теплоносителя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519"/>
        </w:trPr>
        <w:tc>
          <w:tcPr>
            <w:tcW w:w="269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№1 (ТКСИ)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КЕ-25-14С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уголь бурый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95-70 °С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со «срезкой» на 60 </w:t>
            </w:r>
            <w:r>
              <w:rPr>
                <w:rFonts w:eastAsiaTheme="minorEastAsia"/>
                <w:sz w:val="22"/>
                <w:szCs w:val="22"/>
                <w:vertAlign w:val="superscript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</w:rPr>
              <w:t xml:space="preserve">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34"/>
        </w:trPr>
        <w:tc>
          <w:tcPr>
            <w:tcW w:w="269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№2 (ШПЗ)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ДКВр-20-13С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5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уголь бурый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410" w:type="dxa"/>
            <w:vAlign w:val="center"/>
            <w:vMerge w:val="restart"/>
            <w:textDirection w:val="lrTb"/>
            <w:noWrap w:val="false"/>
          </w:tcPr>
          <w:p>
            <w:pPr>
              <w:ind w:left="-108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95/70 °С со «срезкой» на 65 </w:t>
            </w:r>
            <w:r>
              <w:rPr>
                <w:rFonts w:eastAsiaTheme="minorEastAsia"/>
                <w:sz w:val="22"/>
                <w:szCs w:val="22"/>
                <w:vertAlign w:val="superscript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</w:rPr>
              <w:t xml:space="preserve">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51"/>
        </w:trPr>
        <w:tc>
          <w:tcPr>
            <w:tcW w:w="269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КЕ-10/14С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59" w:type="dxa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41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60"/>
        </w:trPr>
        <w:tc>
          <w:tcPr>
            <w:tcW w:w="269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№3 (Мелькомбинат)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ДКВр 6,5-13С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уголь бурый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80/62°С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351"/>
        </w:trPr>
        <w:tc>
          <w:tcPr>
            <w:tcW w:w="269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№4 (Экспедиция 5)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КВм-1,25-115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уголь бурый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75/55°С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60"/>
        </w:trPr>
        <w:tc>
          <w:tcPr>
            <w:tcW w:w="269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№5 (Совхоз) 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КСВ-1,25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Уголь бурый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70/50°С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564"/>
        </w:trPr>
        <w:tc>
          <w:tcPr>
            <w:tcW w:w="269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ДТВ ОАО «РЖД»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КЭВ-</w:t>
            </w:r>
            <w:r>
              <w:rPr>
                <w:rFonts w:eastAsiaTheme="minorEastAsia"/>
                <w:sz w:val="22"/>
                <w:szCs w:val="22"/>
                <w:lang w:eastAsia="en-US"/>
              </w:rPr>
              <w:t xml:space="preserve">6000/10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ind w:left="-108" w:right="-108"/>
              <w:jc w:val="center"/>
              <w:tabs>
                <w:tab w:val="left" w:pos="993" w:leader="none"/>
                <w:tab w:val="left" w:pos="1735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электроэнергия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9</w:t>
            </w:r>
            <w:r>
              <w:rPr>
                <w:rFonts w:eastAsiaTheme="minorEastAsia"/>
                <w:sz w:val="22"/>
                <w:szCs w:val="22"/>
                <w:lang w:val="en-US"/>
              </w:rPr>
              <w:t xml:space="preserve">5/</w:t>
            </w:r>
            <w:r>
              <w:rPr>
                <w:rFonts w:eastAsiaTheme="minorEastAsia"/>
                <w:sz w:val="22"/>
                <w:szCs w:val="22"/>
              </w:rPr>
              <w:t xml:space="preserve">70°С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</w:tr>
      <w:tr>
        <w:tblPrEx/>
        <w:trPr>
          <w:trHeight w:val="60"/>
        </w:trPr>
        <w:tc>
          <w:tcPr>
            <w:tcW w:w="269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ПС-500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КЭВ-250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ind w:left="-108" w:right="-108"/>
              <w:jc w:val="center"/>
              <w:tabs>
                <w:tab w:val="left" w:pos="993" w:leader="none"/>
                <w:tab w:val="left" w:pos="1735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электроэнергия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95/70°С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</w:tr>
    </w:tbl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Характеристика тепловых нагрузок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представлена в Таблице 4.  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right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4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Характеристика тепловых нагрузок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tbl>
      <w:tblPr>
        <w:tblStyle w:val="925"/>
        <w:tblW w:w="5158" w:type="pct"/>
        <w:tblInd w:w="-318" w:type="dxa"/>
        <w:tblLayout w:type="fixed"/>
        <w:tblLook w:val="04A0" w:firstRow="1" w:lastRow="0" w:firstColumn="1" w:lastColumn="0" w:noHBand="0" w:noVBand="1"/>
      </w:tblPr>
      <w:tblGrid>
        <w:gridCol w:w="1561"/>
        <w:gridCol w:w="708"/>
        <w:gridCol w:w="708"/>
        <w:gridCol w:w="711"/>
        <w:gridCol w:w="709"/>
        <w:gridCol w:w="709"/>
        <w:gridCol w:w="709"/>
        <w:gridCol w:w="707"/>
        <w:gridCol w:w="758"/>
        <w:gridCol w:w="652"/>
        <w:gridCol w:w="652"/>
        <w:gridCol w:w="652"/>
        <w:gridCol w:w="636"/>
      </w:tblGrid>
      <w:tr>
        <w:tblPrEx/>
        <w:trPr>
          <w:cantSplit/>
          <w:trHeight w:val="1269"/>
        </w:trPr>
        <w:tc>
          <w:tcPr>
            <w:tcW w:w="791" w:type="pct"/>
            <w:vAlign w:val="center"/>
            <w:textDirection w:val="lrTb"/>
            <w:noWrap w:val="false"/>
          </w:tcPr>
          <w:p>
            <w:pPr>
              <w:ind w:left="-108" w:right="-98"/>
              <w:jc w:val="center"/>
              <w:tabs>
                <w:tab w:val="left" w:pos="993" w:leader="none"/>
                <w:tab w:val="left" w:pos="187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Наименование показателя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Расчетные показатели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2022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60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2023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2024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2025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2026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2027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84" w:type="pct"/>
            <w:vAlign w:val="center"/>
            <w:textDirection w:val="lrTb"/>
            <w:noWrap w:val="false"/>
          </w:tcPr>
          <w:p>
            <w:pPr>
              <w:ind w:right="-109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2028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30" w:type="pct"/>
            <w:vAlign w:val="center"/>
            <w:textDirection w:val="lrTb"/>
            <w:noWrap w:val="false"/>
          </w:tcPr>
          <w:p>
            <w:pPr>
              <w:ind w:right="-109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2029-2033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30" w:type="pct"/>
            <w:vAlign w:val="center"/>
            <w:textDirection w:val="lrTb"/>
            <w:noWrap w:val="false"/>
          </w:tcPr>
          <w:p>
            <w:pPr>
              <w:ind w:left="-107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2034-2038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30" w:type="pct"/>
            <w:vAlign w:val="center"/>
            <w:textDirection w:val="lrTb"/>
            <w:noWrap w:val="false"/>
          </w:tcPr>
          <w:p>
            <w:pPr>
              <w:ind w:right="-104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2039-2041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22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Отклонение, %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791" w:type="pct"/>
            <w:vAlign w:val="center"/>
            <w:textDirection w:val="lrTb"/>
            <w:noWrap w:val="false"/>
          </w:tcPr>
          <w:p>
            <w:pPr>
              <w:ind w:left="-108" w:right="-98"/>
              <w:jc w:val="center"/>
              <w:tabs>
                <w:tab w:val="left" w:pos="993" w:leader="none"/>
                <w:tab w:val="left" w:pos="187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Расчетная температура наружного воздуха максимального зимнего периода, °С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-39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-39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60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-39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-39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-39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-39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8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-39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84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-39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30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-39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30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-39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30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-39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22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791" w:type="pct"/>
            <w:vAlign w:val="center"/>
            <w:textDirection w:val="lrTb"/>
            <w:noWrap w:val="false"/>
          </w:tcPr>
          <w:p>
            <w:pPr>
              <w:ind w:left="-108" w:right="-98"/>
              <w:jc w:val="center"/>
              <w:tabs>
                <w:tab w:val="left" w:pos="993" w:leader="none"/>
                <w:tab w:val="left" w:pos="187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Средняя температура наружного воздуха наиболее холодного месяца, °С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-18,9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-62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-15,5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60" w:type="pct"/>
            <w:vAlign w:val="center"/>
            <w:textDirection w:val="btLr"/>
            <w:noWrap w:val="false"/>
          </w:tcPr>
          <w:p>
            <w:pPr>
              <w:ind w:left="-147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-17,9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-90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-18,9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-3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-18,9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-118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-18,9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58" w:type="pct"/>
            <w:vAlign w:val="center"/>
            <w:textDirection w:val="btLr"/>
            <w:noWrap w:val="false"/>
          </w:tcPr>
          <w:p>
            <w:pPr>
              <w:ind w:left="-62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-18,9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4" w:type="pct"/>
            <w:vAlign w:val="center"/>
            <w:textDirection w:val="btLr"/>
            <w:noWrap w:val="false"/>
          </w:tcPr>
          <w:p>
            <w:pPr>
              <w:ind w:left="-62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-18,9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30" w:type="pct"/>
            <w:vAlign w:val="center"/>
            <w:textDirection w:val="btLr"/>
            <w:noWrap w:val="false"/>
          </w:tcPr>
          <w:p>
            <w:pPr>
              <w:ind w:left="-147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-18,9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30" w:type="pct"/>
            <w:vAlign w:val="center"/>
            <w:textDirection w:val="btLr"/>
            <w:noWrap w:val="false"/>
          </w:tcPr>
          <w:p>
            <w:pPr>
              <w:ind w:left="-90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-18,9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30" w:type="pct"/>
            <w:vAlign w:val="center"/>
            <w:textDirection w:val="btLr"/>
            <w:noWrap w:val="false"/>
          </w:tcPr>
          <w:p>
            <w:pPr>
              <w:ind w:left="-3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-18,9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22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791" w:type="pct"/>
            <w:vAlign w:val="center"/>
            <w:textDirection w:val="lrTb"/>
            <w:noWrap w:val="false"/>
          </w:tcPr>
          <w:p>
            <w:pPr>
              <w:ind w:left="-108" w:right="-98"/>
              <w:jc w:val="center"/>
              <w:tabs>
                <w:tab w:val="left" w:pos="993" w:leader="none"/>
                <w:tab w:val="left" w:pos="187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Средняя температура наружного воздуха отопительного периода, °С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-7,9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-5,3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60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-5,5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3,1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-7,9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-7,9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58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-7,9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4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-7,9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30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-7,9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30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-7,9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30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-7,9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22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791" w:type="pct"/>
            <w:vAlign w:val="center"/>
            <w:textDirection w:val="lrTb"/>
            <w:noWrap w:val="false"/>
          </w:tcPr>
          <w:p>
            <w:pPr>
              <w:ind w:left="-108" w:right="-98"/>
              <w:jc w:val="center"/>
              <w:tabs>
                <w:tab w:val="left" w:pos="993" w:leader="none"/>
                <w:tab w:val="left" w:pos="187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Продолжительность отопительного периода, сутки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239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24</w:t>
            </w:r>
            <w:r>
              <w:rPr>
                <w:rFonts w:ascii="Times New Roman" w:hAnsi="Times New Roman" w:cs="Times New Roman"/>
                <w:shd w:val="clear" w:color="auto" w:fill="ffffff"/>
                <w:lang w:val="en-US"/>
              </w:rPr>
              <w:t xml:space="preserve">4</w:t>
            </w:r>
            <w:r>
              <w:rPr>
                <w:rFonts w:ascii="Times New Roman" w:hAnsi="Times New Roman" w:cs="Times New Roman"/>
                <w:shd w:val="clear" w:color="auto" w:fill="ffffff"/>
                <w:lang w:val="en-US"/>
              </w:rPr>
            </w:r>
            <w:r>
              <w:rPr>
                <w:rFonts w:ascii="Times New Roman" w:hAnsi="Times New Roman" w:cs="Times New Roman"/>
                <w:shd w:val="clear" w:color="auto" w:fill="ffffff"/>
                <w:lang w:val="en-US"/>
              </w:rPr>
            </w:r>
          </w:p>
        </w:tc>
        <w:tc>
          <w:tcPr>
            <w:tcW w:w="360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247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245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245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245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8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245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84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245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30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245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30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245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30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245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22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791" w:type="pct"/>
            <w:vAlign w:val="center"/>
            <w:textDirection w:val="lrTb"/>
            <w:noWrap w:val="false"/>
          </w:tcPr>
          <w:p>
            <w:pPr>
              <w:ind w:left="-108" w:right="-98"/>
              <w:jc w:val="center"/>
              <w:tabs>
                <w:tab w:val="left" w:pos="993" w:leader="none"/>
                <w:tab w:val="left" w:pos="187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Тепловая нагрузка потребителей, Гкал/ч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66,3486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64,9526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60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66,3486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69,3696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 xml:space="preserve">70</w:t>
            </w:r>
            <w:r>
              <w:rPr>
                <w:rFonts w:ascii="Times New Roman" w:hAnsi="Times New Roman" w:cs="Times New Roman"/>
                <w:bCs/>
              </w:rPr>
              <w:t xml:space="preserve">,</w:t>
            </w:r>
            <w:r>
              <w:rPr>
                <w:rFonts w:ascii="Times New Roman" w:hAnsi="Times New Roman" w:cs="Times New Roman"/>
                <w:bCs/>
                <w:lang w:val="en-US"/>
              </w:rPr>
              <w:t xml:space="preserve">9796</w:t>
            </w:r>
            <w:r>
              <w:rPr>
                <w:rFonts w:ascii="Times New Roman" w:hAnsi="Times New Roman" w:cs="Times New Roman"/>
                <w:bCs/>
                <w:lang w:val="en-US"/>
              </w:rPr>
            </w:r>
            <w:r>
              <w:rPr>
                <w:rFonts w:ascii="Times New Roman" w:hAnsi="Times New Roman" w:cs="Times New Roman"/>
                <w:bCs/>
                <w:lang w:val="en-US"/>
              </w:rPr>
            </w:r>
          </w:p>
        </w:tc>
        <w:tc>
          <w:tcPr>
            <w:tcW w:w="359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75,5796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58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77,5696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84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78,6196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30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97,4796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30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97,9196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30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97,9196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22" w:type="pct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97,9196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</w:tbl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Характеристика насосного оборудования, установленного в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, представлена в Таблице 5.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ind w:right="-285"/>
        <w:jc w:val="right"/>
        <w:tabs>
          <w:tab w:val="left" w:pos="993" w:leader="none"/>
          <w:tab w:val="left" w:pos="1276" w:leader="none"/>
          <w:tab w:val="right" w:pos="10206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5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993" w:leader="none"/>
          <w:tab w:val="left" w:pos="1276" w:leader="none"/>
          <w:tab w:val="right" w:pos="10206" w:leader="dot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Характеристика насосного оборудования, установленного в </w:t>
      </w:r>
      <w:r>
        <w:rPr>
          <w:rFonts w:eastAsiaTheme="minorHAnsi"/>
          <w:lang w:eastAsia="en-US"/>
        </w:rPr>
        <w:t xml:space="preserve">котельных 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tabs>
          <w:tab w:val="left" w:pos="993" w:leader="none"/>
          <w:tab w:val="left" w:pos="1276" w:leader="none"/>
          <w:tab w:val="right" w:pos="10206" w:leader="dot"/>
        </w:tabs>
        <w:rPr>
          <w:rFonts w:eastAsiaTheme="minorEastAsia"/>
          <w:shd w:val="clear" w:color="auto" w:fill="ffffff"/>
        </w:rPr>
      </w:pPr>
      <w:r>
        <w:rPr>
          <w:rFonts w:eastAsiaTheme="minorHAnsi"/>
          <w:lang w:eastAsia="en-US"/>
        </w:rPr>
        <w:t xml:space="preserve">Тайшетского городского поселения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tbl>
      <w:tblPr>
        <w:tblStyle w:val="925"/>
        <w:tblW w:w="9923" w:type="dxa"/>
        <w:tblInd w:w="-317" w:type="dxa"/>
        <w:tblLayout w:type="fixed"/>
        <w:tblLook w:val="04A0" w:firstRow="1" w:lastRow="0" w:firstColumn="1" w:lastColumn="0" w:noHBand="0" w:noVBand="1"/>
      </w:tblPr>
      <w:tblGrid>
        <w:gridCol w:w="2410"/>
        <w:gridCol w:w="1700"/>
        <w:gridCol w:w="1276"/>
        <w:gridCol w:w="1276"/>
        <w:gridCol w:w="1134"/>
        <w:gridCol w:w="2128"/>
      </w:tblGrid>
      <w:tr>
        <w:tblPrEx/>
        <w:trPr/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Марка насосного оборудования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70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Количество насосного оборудования, штук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Частота вращения, об./мин.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Производительность, м</w:t>
            </w:r>
            <w:r>
              <w:rPr>
                <w:rFonts w:ascii="Times New Roman" w:hAnsi="Times New Roman" w:cs="Times New Roman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/час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Давление, м.вод.ст.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2128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Номинальная электрическая мощность электроприводов насосного оборудования, кВт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gridSpan w:val="6"/>
            <w:tcW w:w="992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Котельная №1 (ТКСИ)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Насос ЦН 400/105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1480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400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105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212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143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Насос Д630/90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3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1500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630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90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212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250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Насос 1Д1250/90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1450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1250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90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212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560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gridSpan w:val="6"/>
            <w:tcW w:w="992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Котельная №2 (ШПЗ)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Насос Д630/90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3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1500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630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90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212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250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Насос 1Д1250/90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1450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1250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90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212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560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gridSpan w:val="6"/>
            <w:tcW w:w="992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Котельная №3 (Мелькомбинат)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Насос Д320/50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1450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320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50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212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60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Насос Д290/90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1450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290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90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212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gridSpan w:val="6"/>
            <w:tcW w:w="992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Котельная №4 (Экспедиция 5)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Насос К250/50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1500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250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50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212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gridSpan w:val="6"/>
            <w:tcW w:w="992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Котельная №5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КМ100/65-200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2900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100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50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212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30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gridSpan w:val="6"/>
            <w:tcW w:w="992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Электрокотельная ДТВ ОАО «РЖД»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4Д315-71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2900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300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60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212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110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1Д500-63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1450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500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63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212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113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1Д200-90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290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200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90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212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10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</w:tbl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Работа насосного оборудования, установленного в муниципальных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, осуществляется в автоматизированном режиме.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 качестве регулирующей арматуры в муниципальных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используются задвижки чугунные, в качестве запорной арматуры - краны шаровые. В целях защиты тепловых сетей муниципальных котельных от превышения давления на котельных агрегатах установлены клапаны предохранительные.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Параметры установленной тепловой мощности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представлены в Таблице 6.  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right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6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993" w:leader="none"/>
          <w:tab w:val="left" w:pos="1276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Параметры установленной тепловой мощности </w:t>
      </w:r>
      <w:r>
        <w:rPr>
          <w:rFonts w:eastAsiaTheme="minorHAnsi"/>
          <w:lang w:eastAsia="en-US"/>
        </w:rPr>
        <w:t xml:space="preserve">котельных 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HAnsi"/>
          <w:lang w:eastAsia="en-US"/>
        </w:rPr>
        <w:t xml:space="preserve">Тайшетского городского поселения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tbl>
      <w:tblPr>
        <w:tblW w:w="9781" w:type="dxa"/>
        <w:tblInd w:w="-31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4110"/>
        <w:gridCol w:w="2551"/>
        <w:gridCol w:w="1559"/>
        <w:gridCol w:w="1561"/>
      </w:tblGrid>
      <w:tr>
        <w:tblPrEx/>
        <w:trPr/>
        <w:tc>
          <w:tcPr>
            <w:tcW w:w="411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Наименование муниципальной котельной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Марка котельного агрегата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Количество котельных агрегатов, штук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6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Установленная мощность, Гкал/час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77"/>
        </w:trPr>
        <w:tc>
          <w:tcPr>
            <w:tcW w:w="411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№1 (ТКСИ)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КЕ-25-14С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61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66"/>
        </w:trPr>
        <w:tc>
          <w:tcPr>
            <w:tcW w:w="411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№2 (ШПЗ)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ДКВр-20-13С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6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33,6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85"/>
        </w:trPr>
        <w:tc>
          <w:tcPr>
            <w:tcW w:w="411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КЕ-10/14С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2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56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11,2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</w:tr>
      <w:tr>
        <w:tblPrEx/>
        <w:trPr>
          <w:trHeight w:val="60"/>
        </w:trPr>
        <w:tc>
          <w:tcPr>
            <w:tcW w:w="411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№3 (Мелькомбинат)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ДКВр 6,5-13С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6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7,4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60"/>
        </w:trPr>
        <w:tc>
          <w:tcPr>
            <w:tcW w:w="411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№4 (Экспедиция 5)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КВм-1,25-115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6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1,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93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60"/>
        </w:trPr>
        <w:tc>
          <w:tcPr>
            <w:tcW w:w="411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№5 (Совхоз) 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КСВ-1,25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6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1,07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60"/>
        </w:trPr>
        <w:tc>
          <w:tcPr>
            <w:tcW w:w="411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ДТВ ОАО «РЖД»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 xml:space="preserve">КЭВ-6000/10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6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15,48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60"/>
        </w:trPr>
        <w:tc>
          <w:tcPr>
            <w:tcW w:w="411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ПС-500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 xml:space="preserve">КЭВ-250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6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0,86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60"/>
        </w:trPr>
        <w:tc>
          <w:tcPr>
            <w:gridSpan w:val="3"/>
            <w:tcW w:w="822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Итого по муниципальному образованию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56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trike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127,31</w:t>
            </w:r>
            <w:r>
              <w:rPr>
                <w:rFonts w:eastAsiaTheme="minorEastAsia"/>
                <w:strike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trike/>
                <w:sz w:val="22"/>
                <w:szCs w:val="22"/>
                <w:shd w:val="clear" w:color="auto" w:fill="ffffff"/>
              </w:rPr>
            </w:r>
          </w:p>
        </w:tc>
      </w:tr>
    </w:tbl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Ограничения тепловой мощности и параметры располагаемой тепловой мощности котельных Тайшетского городского поселения представлены в Таблице 7.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right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7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Ограничения тепловой мощности и параметры располагаемой тепловой 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мощности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tbl>
      <w:tblPr>
        <w:tblW w:w="9781" w:type="dxa"/>
        <w:tblInd w:w="-31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4411"/>
        <w:gridCol w:w="2683"/>
        <w:gridCol w:w="2687"/>
      </w:tblGrid>
      <w:tr>
        <w:tblPrEx/>
        <w:trPr/>
        <w:tc>
          <w:tcPr>
            <w:tcW w:w="441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Наименование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муниципальной котельной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68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Ограничения тепловой мощности, Гкал/час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68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Располагаемая тепловая мощность, Гкал/час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4411" w:type="dxa"/>
            <w:vAlign w:val="center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№1 (ТКСИ)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268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21,2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68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34,8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4411" w:type="dxa"/>
            <w:vAlign w:val="center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№2 (ШПЗ)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268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5,6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68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39,2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4411" w:type="dxa"/>
            <w:vAlign w:val="center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№3 (Мелькомбинат)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268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68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7,4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4411" w:type="dxa"/>
            <w:vAlign w:val="center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№4 (Экспедиция 5)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2683" w:type="dxa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68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1,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93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4411" w:type="dxa"/>
            <w:vAlign w:val="center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№5 (Совхоз) 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2683" w:type="dxa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68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1,07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4411" w:type="dxa"/>
            <w:vAlign w:val="center"/>
            <w:textDirection w:val="lrTb"/>
            <w:noWrap w:val="false"/>
          </w:tcPr>
          <w:p>
            <w:pPr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ДТВ ОАО «РЖД»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2683" w:type="dxa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5,18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68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10,3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4411" w:type="dxa"/>
            <w:vAlign w:val="center"/>
            <w:textDirection w:val="lrTb"/>
            <w:noWrap w:val="false"/>
          </w:tcPr>
          <w:p>
            <w:pPr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ПС-500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2683" w:type="dxa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68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0,86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15"/>
        </w:trPr>
        <w:tc>
          <w:tcPr>
            <w:tcW w:w="441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Итого по муниципальному образованию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268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31,98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268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95,33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</w:tbl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bCs/>
          <w:i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bCs/>
          <w:i/>
        </w:rPr>
      </w:r>
      <w:r>
        <w:rPr>
          <w:rFonts w:eastAsiaTheme="minorEastAsia"/>
          <w:bCs/>
          <w:i/>
        </w:rPr>
      </w:r>
    </w:p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Объем потребления тепловой мощности на собственные и хозяйственные нужды, параметры тепловой мощности нетто котельных Тайшетского городского поселения представлены в Таблице 8. 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jc w:val="right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8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Объем потребления тепловой мощности на собственные и хозяйственные нужды, 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параметры тепловой мощности нетто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tbl>
      <w:tblPr>
        <w:tblW w:w="9781" w:type="dxa"/>
        <w:tblInd w:w="-31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3402"/>
        <w:gridCol w:w="1843"/>
        <w:gridCol w:w="3118"/>
        <w:gridCol w:w="1418"/>
      </w:tblGrid>
      <w:tr>
        <w:tblPrEx/>
        <w:trPr>
          <w:trHeight w:val="20"/>
        </w:trPr>
        <w:tc>
          <w:tcPr>
            <w:tcW w:w="340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Наименование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муниципальной котельной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Марка и количество котельных агрегатов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11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Объем потребления тепловой мощности на собственные и хозяйственные нужды, Гкал/час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Тепловая мощность нетто, Гкал/час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402" w:type="dxa"/>
            <w:vAlign w:val="center"/>
            <w:textDirection w:val="lrTb"/>
            <w:noWrap w:val="false"/>
          </w:tcPr>
          <w:p>
            <w:pPr>
              <w:ind w:right="-108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№1 (ТКСИ) 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КЕ25-14С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118" w:type="dxa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2,</w:t>
            </w:r>
            <w:r>
              <w:rPr>
                <w:rFonts w:eastAsiaTheme="minorEastAsia"/>
                <w:sz w:val="22"/>
                <w:szCs w:val="22"/>
              </w:rPr>
              <w:t xml:space="preserve">33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32,72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120"/>
        </w:trPr>
        <w:tc>
          <w:tcPr>
            <w:tcW w:w="3402" w:type="dxa"/>
            <w:vAlign w:val="center"/>
            <w:vMerge w:val="restart"/>
            <w:textDirection w:val="lrTb"/>
            <w:noWrap w:val="false"/>
          </w:tcPr>
          <w:p>
            <w:pPr>
              <w:ind w:right="-108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№2 (ШПЗ)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ДКВр 20-13С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311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2,</w:t>
            </w:r>
            <w:r>
              <w:rPr>
                <w:rFonts w:eastAsiaTheme="minorEastAsia"/>
                <w:sz w:val="22"/>
                <w:szCs w:val="22"/>
              </w:rPr>
              <w:t xml:space="preserve">31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36,91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138"/>
        </w:trPr>
        <w:tc>
          <w:tcPr>
            <w:tcW w:w="3402" w:type="dxa"/>
            <w:vAlign w:val="center"/>
            <w:vMerge w:val="continue"/>
            <w:textDirection w:val="lrTb"/>
            <w:noWrap w:val="false"/>
          </w:tcPr>
          <w:p>
            <w:pPr>
              <w:ind w:right="-108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before="60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КЕ10-14С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118" w:type="dxa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41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W w:w="3402" w:type="dxa"/>
            <w:vAlign w:val="center"/>
            <w:textDirection w:val="lrTb"/>
            <w:noWrap w:val="false"/>
          </w:tcPr>
          <w:p>
            <w:pPr>
              <w:ind w:right="-108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№3 (Мелькомбинат)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ДКВр 6,5-13С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3118" w:type="dxa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0,35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7,05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402" w:type="dxa"/>
            <w:vAlign w:val="center"/>
            <w:textDirection w:val="lrTb"/>
            <w:noWrap w:val="false"/>
          </w:tcPr>
          <w:p>
            <w:pPr>
              <w:ind w:right="-108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№4 (Экспедиция 5)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КВм-1,25-115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3118" w:type="dxa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0,02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1,</w:t>
            </w:r>
            <w:r>
              <w:rPr>
                <w:rFonts w:eastAsiaTheme="minorEastAsia"/>
                <w:sz w:val="22"/>
                <w:szCs w:val="22"/>
              </w:rPr>
              <w:t xml:space="preserve">91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402" w:type="dxa"/>
            <w:vAlign w:val="center"/>
            <w:textDirection w:val="lrTb"/>
            <w:noWrap w:val="false"/>
          </w:tcPr>
          <w:p>
            <w:pPr>
              <w:ind w:right="-108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№5 (Совхоз) 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КСВ-1,25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3118" w:type="dxa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0,0</w:t>
            </w:r>
            <w:r>
              <w:rPr>
                <w:rFonts w:eastAsiaTheme="minorEastAsia"/>
                <w:sz w:val="22"/>
                <w:szCs w:val="22"/>
                <w:lang w:val="en-US"/>
              </w:rPr>
              <w:t xml:space="preserve">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1,06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402" w:type="dxa"/>
            <w:vAlign w:val="center"/>
            <w:textDirection w:val="lrTb"/>
            <w:noWrap w:val="false"/>
          </w:tcPr>
          <w:p>
            <w:pPr>
              <w:ind w:right="-108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 ДТВ ОАО «РЖД»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КЭВ-6000-10,5-10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3118" w:type="dxa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0,282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10,02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402" w:type="dxa"/>
            <w:vAlign w:val="center"/>
            <w:textDirection w:val="lrTb"/>
            <w:noWrap w:val="false"/>
          </w:tcPr>
          <w:p>
            <w:pPr>
              <w:ind w:right="-108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ПС-500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КЭВ-250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3118" w:type="dxa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0,017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0,84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gridSpan w:val="2"/>
            <w:tcW w:w="5245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Итого по муниципальному образованию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311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5,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320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89,99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</w:tbl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Системы теплоснабжения муниципальных котельных Тайшетского гор</w:t>
      </w:r>
      <w:r>
        <w:rPr>
          <w:rFonts w:eastAsiaTheme="minorEastAsia"/>
          <w:shd w:val="clear" w:color="auto" w:fill="ffffff"/>
        </w:rPr>
        <w:t xml:space="preserve">одского поселения являются закрытыми системами теплоснабжения, кроме тепловых сетей от котельной №1(ТКСИ) - система открытая.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Муниципальные </w:t>
      </w:r>
      <w:r>
        <w:rPr>
          <w:rFonts w:eastAsiaTheme="minorHAnsi"/>
          <w:lang w:eastAsia="en-US"/>
        </w:rPr>
        <w:t xml:space="preserve">котельные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не являются комбинированными источниками выработки тепловой и электрической энергии.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 состав муниципальных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входят комплекты оборудования для автоматического поддержания температуры прямой сетей воды.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График изменения температур теплоносителя </w:t>
      </w:r>
      <w:r>
        <w:rPr>
          <w:rFonts w:eastAsiaTheme="minorHAnsi"/>
          <w:lang w:eastAsia="en-US"/>
        </w:rPr>
        <w:t xml:space="preserve">котельной №1 (ТКСИ) </w:t>
      </w:r>
      <w:r>
        <w:rPr>
          <w:rFonts w:eastAsiaTheme="minorEastAsia"/>
          <w:shd w:val="clear" w:color="auto" w:fill="ffffff"/>
        </w:rPr>
        <w:t xml:space="preserve">в зависимости от температур наружного воздуха по температурному графику 95-70°С представлен на Рисунке 1 (Рисунок не приводится).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График изменения температур теплоносителя </w:t>
      </w:r>
      <w:r>
        <w:rPr>
          <w:rFonts w:eastAsiaTheme="minorHAnsi"/>
          <w:lang w:eastAsia="en-US"/>
        </w:rPr>
        <w:t xml:space="preserve">котельной №1 (ТКСИ) </w:t>
      </w:r>
      <w:r>
        <w:rPr>
          <w:rFonts w:eastAsiaTheme="minorEastAsia"/>
          <w:shd w:val="clear" w:color="auto" w:fill="ffffff"/>
        </w:rPr>
        <w:t xml:space="preserve">в зависимости от температур наружного воздуха выбран на основании климатических параметров отопительного периода на территории Тайшетского городс</w:t>
      </w:r>
      <w:r>
        <w:rPr>
          <w:rFonts w:eastAsiaTheme="minorEastAsia"/>
          <w:shd w:val="clear" w:color="auto" w:fill="ffffff"/>
        </w:rPr>
        <w:t xml:space="preserve">кого поселения, предусмотренных СНиП 23-01-99 «Строительная климатология», справочных данных температуры воды, подаваемой в систему теплоснабжения муниципальной котельной и температуры сетевой воды в обратном трубопроводе по температурному графику 95-70°С.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График изменения температур теплоносителя </w:t>
      </w:r>
      <w:r>
        <w:rPr>
          <w:rFonts w:eastAsiaTheme="minorHAnsi"/>
          <w:lang w:eastAsia="en-US"/>
        </w:rPr>
        <w:t xml:space="preserve">котельной №2 (ШПЗ) </w:t>
      </w:r>
      <w:r>
        <w:rPr>
          <w:rFonts w:eastAsiaTheme="minorEastAsia"/>
          <w:shd w:val="clear" w:color="auto" w:fill="ffffff"/>
        </w:rPr>
        <w:t xml:space="preserve">в зависимости от температур наружного воздуха по температурному графику 95-70°С представлен на Рисунке 2 (Рисунок не приводится).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График изменения температур теплоносителя </w:t>
      </w:r>
      <w:r>
        <w:rPr>
          <w:rFonts w:eastAsiaTheme="minorHAnsi"/>
          <w:lang w:eastAsia="en-US"/>
        </w:rPr>
        <w:t xml:space="preserve">котельной №2 (ШПЗ) </w:t>
      </w:r>
      <w:r>
        <w:rPr>
          <w:rFonts w:eastAsiaTheme="minorEastAsia"/>
          <w:shd w:val="clear" w:color="auto" w:fill="ffffff"/>
        </w:rPr>
        <w:t xml:space="preserve">в зависимости от температур наружного воздуха выбран на основании климатических параметров отопительного периода на территории Тайшетского городс</w:t>
      </w:r>
      <w:r>
        <w:rPr>
          <w:rFonts w:eastAsiaTheme="minorEastAsia"/>
          <w:shd w:val="clear" w:color="auto" w:fill="ffffff"/>
        </w:rPr>
        <w:t xml:space="preserve">кого поселения, предусмотренных СНиП 23-01-99 «Строительная климатология», справочных данных температуры воды, подаваемой в систему теплоснабжения муниципальной котельной и температуры сетевой воды в обратном трубопроводе по температурному графику 95-70°С.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График изменения температур теплоносителя </w:t>
      </w:r>
      <w:r>
        <w:rPr>
          <w:rFonts w:eastAsiaTheme="minorHAnsi"/>
          <w:lang w:eastAsia="en-US"/>
        </w:rPr>
        <w:t xml:space="preserve">котельной </w:t>
      </w:r>
      <w:r>
        <w:rPr>
          <w:rFonts w:eastAsiaTheme="minorEastAsia"/>
        </w:rPr>
        <w:t xml:space="preserve">№ 3 (Мелькомбинат)</w:t>
      </w:r>
      <w:r>
        <w:rPr>
          <w:rFonts w:eastAsiaTheme="minorEastAsia"/>
          <w:shd w:val="clear" w:color="auto" w:fill="ffffff"/>
        </w:rPr>
        <w:t xml:space="preserve"> в зависимости от температур наружного воздуха по температурному графику 80-62°С представлен на Рисунке 3 (Рисунок не приводится).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График изменения температур теплоносителя </w:t>
      </w:r>
      <w:r>
        <w:rPr>
          <w:rFonts w:eastAsiaTheme="minorHAnsi"/>
          <w:lang w:eastAsia="en-US"/>
        </w:rPr>
        <w:t xml:space="preserve">котельной </w:t>
      </w:r>
      <w:r>
        <w:rPr>
          <w:rFonts w:eastAsiaTheme="minorEastAsia"/>
        </w:rPr>
        <w:t xml:space="preserve">№3 (Мелькомбинат)</w:t>
      </w:r>
      <w:r>
        <w:rPr>
          <w:rFonts w:eastAsiaTheme="minorEastAsia"/>
          <w:shd w:val="clear" w:color="auto" w:fill="ffffff"/>
        </w:rPr>
        <w:t xml:space="preserve"> в зависимости от температур наружного воздуха выбран на основании климатических параметров отопительного периода на территории Тайшетского городского поселения, предусмотренных СНиП 23-01-99 «Строительная климатология», справочных данных </w:t>
      </w:r>
      <w:r>
        <w:rPr>
          <w:rFonts w:eastAsiaTheme="minorEastAsia"/>
          <w:shd w:val="clear" w:color="auto" w:fill="ffffff"/>
        </w:rPr>
        <w:t xml:space="preserve">температуры воды, подаваемой в систему теплоснабжения муниципальной котельной и температуры сетевой воды в обратном трубопроводе по температурному графику 80-62°С.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График изменения температур теплоносителя </w:t>
      </w:r>
      <w:r>
        <w:rPr>
          <w:rFonts w:eastAsiaTheme="minorHAnsi"/>
          <w:lang w:eastAsia="en-US"/>
        </w:rPr>
        <w:t xml:space="preserve">котельной </w:t>
      </w:r>
      <w:r>
        <w:rPr>
          <w:rFonts w:eastAsiaTheme="minorEastAsia"/>
        </w:rPr>
        <w:t xml:space="preserve">№4 (Экспедиция 5)</w:t>
      </w:r>
      <w:r>
        <w:rPr>
          <w:rFonts w:eastAsiaTheme="minorEastAsia"/>
          <w:shd w:val="clear" w:color="auto" w:fill="ffffff"/>
        </w:rPr>
        <w:t xml:space="preserve"> в зависимости от температур наружного воздуха по температурному графику 75-55°С представлен на Рисунке 4 (Рисунок не приводится).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График изменения температур теплоносителя </w:t>
      </w:r>
      <w:r>
        <w:rPr>
          <w:rFonts w:eastAsiaTheme="minorHAnsi"/>
          <w:lang w:eastAsia="en-US"/>
        </w:rPr>
        <w:t xml:space="preserve">котельной </w:t>
      </w:r>
      <w:r>
        <w:rPr>
          <w:rFonts w:eastAsiaTheme="minorEastAsia"/>
        </w:rPr>
        <w:t xml:space="preserve">№4 (Экспедиция 5)</w:t>
      </w:r>
      <w:r>
        <w:rPr>
          <w:rFonts w:eastAsiaTheme="minorEastAsia"/>
          <w:shd w:val="clear" w:color="auto" w:fill="ffffff"/>
        </w:rPr>
        <w:t xml:space="preserve"> в зависимости от температур наружного воздуха выбран на основании климатических параметров отопительного периода на территории Тайшетского городс</w:t>
      </w:r>
      <w:r>
        <w:rPr>
          <w:rFonts w:eastAsiaTheme="minorEastAsia"/>
          <w:shd w:val="clear" w:color="auto" w:fill="ffffff"/>
        </w:rPr>
        <w:t xml:space="preserve">кого поселения, предусмотренных СНиП 23-01-99 «Строительная климатология», справочных данных температуры воды, подаваемой в систему теплоснабжения муниципальной котельной и температуры сетевой воды в обратном трубопроводе по температурному графику 75-55°С.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График изменения температур теплоносителя </w:t>
      </w:r>
      <w:r>
        <w:rPr>
          <w:rFonts w:eastAsiaTheme="minorHAnsi"/>
          <w:lang w:eastAsia="en-US"/>
        </w:rPr>
        <w:t xml:space="preserve">котельной </w:t>
      </w:r>
      <w:r>
        <w:rPr>
          <w:rFonts w:eastAsiaTheme="minorEastAsia"/>
        </w:rPr>
        <w:t xml:space="preserve">№5 (Совхоз)</w:t>
      </w:r>
      <w:r>
        <w:rPr>
          <w:rFonts w:eastAsiaTheme="minorEastAsia"/>
          <w:shd w:val="clear" w:color="auto" w:fill="ffffff"/>
        </w:rPr>
        <w:t xml:space="preserve"> в зависимости от температур наружного воздуха по температурному графику 70-50°С представлен на Рисунке 5 (Рисунок не приводится).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График изменения температур теплоносителя </w:t>
      </w:r>
      <w:r>
        <w:rPr>
          <w:rFonts w:eastAsiaTheme="minorHAnsi"/>
          <w:lang w:eastAsia="en-US"/>
        </w:rPr>
        <w:t xml:space="preserve">котельной </w:t>
      </w:r>
      <w:r>
        <w:rPr>
          <w:rFonts w:eastAsiaTheme="minorEastAsia"/>
        </w:rPr>
        <w:t xml:space="preserve">№5 (Совхоз)</w:t>
      </w:r>
      <w:r>
        <w:rPr>
          <w:rFonts w:eastAsiaTheme="minorEastAsia"/>
          <w:shd w:val="clear" w:color="auto" w:fill="ffffff"/>
        </w:rPr>
        <w:t xml:space="preserve"> в зависимости от температур наружного воздуха выбран на основании климатических параметров отопительного периода на территории Тайшетского городс</w:t>
      </w:r>
      <w:r>
        <w:rPr>
          <w:rFonts w:eastAsiaTheme="minorEastAsia"/>
          <w:shd w:val="clear" w:color="auto" w:fill="ffffff"/>
        </w:rPr>
        <w:t xml:space="preserve">кого поселения, предусмотренных СНиП 23-01-99 «Строительная климатология», справочных данных температуры воды, подаваемой в систему теплоснабжения муниципальной котельной и температуры сетевой воды в обратном трубопроводе по температурному графику 70-50°С.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График изменения температур теплоносителя электрокотельной ДТВ ОАО «РЖД» в зависимости от температур наружного воздуха по температурному графику 95/70°С представлен на Рисунке 6 (Рисунок не приводится).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График изменения температур теплоносителя электрокотельной ДТВ ОАО «РЖД» в зависимости от температур наружного воздуха выбран на основании климатических параметров отопительного периода на территории Тайшетского городс</w:t>
      </w:r>
      <w:r>
        <w:rPr>
          <w:rFonts w:eastAsiaTheme="minorEastAsia"/>
          <w:shd w:val="clear" w:color="auto" w:fill="ffffff"/>
        </w:rPr>
        <w:t xml:space="preserve">кого поселения, предусмотренных СНиП 23-01-99 «Строительная климатология», справочных данных температуры воды, подаваемой в систему теплоснабжения муниципальной котельной и температуры сетевой воды в обратном трубопроводе по температурному графику 95-70°С.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График изменения температур теплоносителя электрокотельной ПС-500 в зависимости от температур наружного воздуха по температурному графику 95-70°С представлен на Рисунке 7 (Рисунок не приводится).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График изменения температур теплоносителя электрокотельной ПС-500 в зависимости</w:t>
      </w:r>
      <w:r>
        <w:rPr>
          <w:rFonts w:eastAsiaTheme="minorEastAsia"/>
          <w:shd w:val="clear" w:color="auto" w:fill="ffffff"/>
        </w:rPr>
        <w:t xml:space="preserve"> от температур наружного воздуха выбран на основании климатических параметров отопительного периода на территории Тайшетского городского поселения, предусмотренных СНиП 23-01-99 «Строительная климатология», справочных данных температуры воды, подаваемой в </w:t>
      </w:r>
      <w:r>
        <w:rPr>
          <w:rFonts w:eastAsiaTheme="minorEastAsia"/>
          <w:shd w:val="clear" w:color="auto" w:fill="ffffff"/>
        </w:rPr>
        <w:t xml:space="preserve">систему теплоснабжения муниципальной котельной и температуры сетевой воды в обратном трубопроводе по температурному графику 95-70°С.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i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Загрузка котельных агрегатов, установленных в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, в отчетном (базовом</w:t>
      </w:r>
      <w:r>
        <w:rPr>
          <w:rFonts w:eastAsiaTheme="minorEastAsia"/>
          <w:shd w:val="clear" w:color="auto" w:fill="ffffff" w:themeFill="background1"/>
        </w:rPr>
        <w:t xml:space="preserve">) 202</w:t>
      </w:r>
      <w:r>
        <w:rPr>
          <w:rFonts w:eastAsiaTheme="minorEastAsia"/>
          <w:shd w:val="clear" w:color="auto" w:fill="ffffff" w:themeFill="background1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году представлена в Таблице 9.</w:t>
      </w:r>
      <w:r>
        <w:rPr>
          <w:rFonts w:eastAsiaTheme="minorEastAsia"/>
          <w:i/>
          <w:shd w:val="clear" w:color="auto" w:fill="ffffff"/>
        </w:rPr>
      </w:r>
      <w:r>
        <w:rPr>
          <w:rFonts w:eastAsiaTheme="minorEastAsia"/>
          <w:i/>
          <w:shd w:val="clear" w:color="auto" w:fill="ffffff"/>
        </w:rPr>
      </w:r>
    </w:p>
    <w:p>
      <w:pPr>
        <w:ind w:firstLine="709"/>
        <w:jc w:val="right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9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993" w:leader="none"/>
          <w:tab w:val="left" w:pos="1276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Загрузка котельных агрегатов, установленных в </w:t>
      </w:r>
      <w:r>
        <w:rPr>
          <w:rFonts w:eastAsiaTheme="minorHAnsi"/>
          <w:lang w:eastAsia="en-US"/>
        </w:rPr>
        <w:t xml:space="preserve">котельных 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HAnsi"/>
          <w:lang w:eastAsia="en-US"/>
        </w:rPr>
        <w:t xml:space="preserve">Тайшетского городского поселения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tbl>
      <w:tblPr>
        <w:tblW w:w="4944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3173"/>
        <w:gridCol w:w="1641"/>
        <w:gridCol w:w="1607"/>
        <w:gridCol w:w="1607"/>
        <w:gridCol w:w="1435"/>
      </w:tblGrid>
      <w:tr>
        <w:tblPrEx/>
        <w:trPr>
          <w:jc w:val="center"/>
          <w:trHeight w:val="20"/>
        </w:trPr>
        <w:tc>
          <w:tcPr>
            <w:tcW w:w="1677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Наименование муниципальной котельной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867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Марка и количество котельных агрегатов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849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Располагаемая тепловая мощность, Гкал/час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849" w:type="pct"/>
            <w:vAlign w:val="center"/>
            <w:textDirection w:val="lrTb"/>
            <w:noWrap w:val="false"/>
          </w:tcPr>
          <w:p>
            <w:pPr>
              <w:ind w:left="-95"/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Подключенная тепловая нагрузка, Гкал/час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758" w:type="pct"/>
            <w:vAlign w:val="center"/>
            <w:textDirection w:val="lrTb"/>
            <w:noWrap w:val="false"/>
          </w:tcPr>
          <w:p>
            <w:pPr>
              <w:ind w:left="-143" w:right="-56"/>
              <w:jc w:val="center"/>
              <w:tabs>
                <w:tab w:val="left" w:pos="993" w:leader="none"/>
                <w:tab w:val="left" w:pos="1558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Максимальная загрузка, %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jc w:val="center"/>
          <w:trHeight w:val="20"/>
        </w:trPr>
        <w:tc>
          <w:tcPr>
            <w:tcW w:w="16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№1 (ТКСИ)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67" w:type="pct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КЕ25-14С 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849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34,8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84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26,56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58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jc w:val="center"/>
          <w:trHeight w:val="20"/>
        </w:trPr>
        <w:tc>
          <w:tcPr>
            <w:tcW w:w="1677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№2 (ШПЗ)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67" w:type="pct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ДКВр 20-13С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849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39,2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849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35,9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58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92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jc w:val="center"/>
          <w:trHeight w:val="20"/>
        </w:trPr>
        <w:tc>
          <w:tcPr>
            <w:tcW w:w="1677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867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КЕ10-14С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849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849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758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jc w:val="center"/>
          <w:trHeight w:val="20"/>
        </w:trPr>
        <w:tc>
          <w:tcPr>
            <w:tcW w:w="16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№3 (Мелькомбинат)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67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ДКВр 6,5-13С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849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7,4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84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2,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58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jc w:val="center"/>
          <w:trHeight w:val="20"/>
        </w:trPr>
        <w:tc>
          <w:tcPr>
            <w:tcW w:w="16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№4 (Экспедиция 5)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67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КВм-1,25-115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849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1,</w:t>
            </w:r>
            <w:r>
              <w:rPr>
                <w:rFonts w:eastAsiaTheme="minorEastAsia"/>
                <w:sz w:val="22"/>
                <w:szCs w:val="22"/>
              </w:rPr>
              <w:t xml:space="preserve">93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84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1,55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58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80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jc w:val="center"/>
          <w:trHeight w:val="20"/>
        </w:trPr>
        <w:tc>
          <w:tcPr>
            <w:tcW w:w="16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№5 (Совхоз) 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67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КСВ-1,25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849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1,07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84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0,37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58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jc w:val="center"/>
          <w:trHeight w:val="20"/>
        </w:trPr>
        <w:tc>
          <w:tcPr>
            <w:tcW w:w="16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ДТВ ОАО «РЖД»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867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КЭВ-6000/10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849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10,3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84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58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73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jc w:val="center"/>
          <w:trHeight w:val="20"/>
        </w:trPr>
        <w:tc>
          <w:tcPr>
            <w:tcW w:w="167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ПС-500 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867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КЭВ-250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849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0,86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84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58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jc w:val="center"/>
          <w:trHeight w:val="20"/>
        </w:trPr>
        <w:tc>
          <w:tcPr>
            <w:gridSpan w:val="2"/>
            <w:tcW w:w="2544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Итого по муниципальному образованию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849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95,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849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74,78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75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</w:tbl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Учет тепловой энергии, выработанной муниципальными котельными Тайшетского городского поселения и отпущенной в тепловые сети муниципальных котельных, ведется на основании данных установленных на выводах с теплоисточников приборов учета тепловой энергии.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Отказы и восстановления оборудования, установленного в муниципальных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, в отчетном (базовом)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году не зафиксированы.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Предписания надзорных органов по запрещению дальнейшей эксплуатации муниципальных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, в отчетном (базовом) </w:t>
      </w:r>
      <w:r>
        <w:rPr>
          <w:rFonts w:eastAsiaTheme="minorEastAsia"/>
          <w:shd w:val="clear" w:color="auto" w:fill="ffffff"/>
        </w:rPr>
        <w:t xml:space="preserve">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году не выносились.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Источники тепловой энергии, функционирующие в режиме комбинированн</w:t>
      </w:r>
      <w:r>
        <w:rPr>
          <w:rFonts w:eastAsiaTheme="minorHAnsi"/>
          <w:lang w:eastAsia="en-US"/>
        </w:rPr>
        <w:t xml:space="preserve">ой выработки электрической и тепловой энергии, электрическая мощность которых поставляется в вынужденном режиме в целях обеспечения надежного теплоснабжения потребителей, на территории Тайшетского городского поселения по состоянию на отчетный (базовый) 202</w:t>
      </w:r>
      <w:r>
        <w:rPr>
          <w:rFonts w:eastAsiaTheme="minorHAnsi"/>
          <w:lang w:eastAsia="en-US"/>
        </w:rPr>
        <w:t xml:space="preserve">4</w:t>
      </w:r>
      <w:r>
        <w:rPr>
          <w:rFonts w:eastAsiaTheme="minorHAnsi"/>
          <w:lang w:eastAsia="en-US"/>
        </w:rPr>
        <w:t xml:space="preserve"> год отсутствуют.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keepLines/>
        <w:keepNext/>
        <w:widowControl w:val="off"/>
        <w:rPr>
          <w:rFonts w:eastAsiaTheme="majorEastAsia"/>
          <w:bCs/>
          <w:shd w:val="clear" w:color="auto" w:fill="ffffff"/>
        </w:rPr>
      </w:pPr>
      <w:r/>
      <w:bookmarkStart w:id="61" w:name="_Toc149055592"/>
      <w:r>
        <w:rPr>
          <w:rFonts w:eastAsiaTheme="majorEastAsia"/>
          <w:bCs/>
          <w:shd w:val="clear" w:color="auto" w:fill="ffffff"/>
        </w:rPr>
        <w:t xml:space="preserve">Часть 3. Тепловые сети, сооружения на них</w:t>
      </w:r>
      <w:bookmarkEnd w:id="61"/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Тепловые сети </w:t>
      </w:r>
      <w:r>
        <w:rPr>
          <w:rFonts w:eastAsiaTheme="minorEastAsia"/>
          <w:shd w:val="clear" w:color="auto" w:fill="ffffff"/>
        </w:rPr>
        <w:t xml:space="preserve">муниципальных </w:t>
      </w:r>
      <w:r>
        <w:rPr>
          <w:rFonts w:eastAsiaTheme="minorHAnsi"/>
          <w:lang w:eastAsia="en-US"/>
        </w:rPr>
        <w:t xml:space="preserve">котельных Тайшетского городского поселения имеют по одному магистральному выводу в двухтрубном металлическом нерезервируемом исполнении (котельная №3 </w:t>
      </w:r>
      <w:r>
        <w:rPr>
          <w:rFonts w:eastAsiaTheme="minorEastAsia"/>
        </w:rPr>
        <w:t xml:space="preserve">(Мелькомбинат)</w:t>
      </w:r>
      <w:r>
        <w:rPr>
          <w:rFonts w:eastAsiaTheme="minorHAnsi"/>
          <w:lang w:eastAsia="en-US"/>
        </w:rPr>
        <w:t xml:space="preserve"> – два вывода, нерезервируемых), выполне</w:t>
      </w:r>
      <w:r>
        <w:rPr>
          <w:rFonts w:eastAsiaTheme="minorHAnsi"/>
          <w:lang w:eastAsia="en-US"/>
        </w:rPr>
        <w:t xml:space="preserve">нному надземной прокладкой и подземной прокладкой в непроходных каналах с теплоизоляцией из минеральной ваты, оканчивающемуся секционирующей арматурой в многоквартирных домах, индивидуальных жилых домах, общественных зданиях потребителей тепловой энергии. </w:t>
      </w:r>
      <w:r>
        <w:rPr>
          <w:rFonts w:eastAsiaTheme="minorEastAsia"/>
        </w:rPr>
        <w:t xml:space="preserve">Компенсация температурных удлинений тепловых сетей муниципальной котельной осуществляется с помощью углов </w:t>
      </w:r>
      <w:r>
        <w:rPr>
          <w:rFonts w:eastAsiaTheme="minorEastAsia"/>
        </w:rPr>
        <w:t xml:space="preserve">поворотов теплотрассы и П-образных компенсаторов.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Центральные тепловые пункты и тепловые павильоны тепловых сетей </w:t>
      </w:r>
      <w:r>
        <w:rPr>
          <w:rFonts w:eastAsiaTheme="minorEastAsia"/>
          <w:shd w:val="clear" w:color="auto" w:fill="ffffff"/>
        </w:rPr>
        <w:t xml:space="preserve">муниципальных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по состоянию на отчетный (базовый)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 </w:t>
      </w:r>
      <w:r>
        <w:rPr>
          <w:rFonts w:eastAsiaTheme="minorHAnsi"/>
          <w:lang w:eastAsia="en-US"/>
        </w:rPr>
        <w:t xml:space="preserve">отсутствуют. Вводы магистральных сетей от муниципальных котельных в промышленные объекты отсутствуют.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Схемы тепловых сетей в зонах действия </w:t>
      </w:r>
      <w:r>
        <w:rPr>
          <w:rFonts w:eastAsiaTheme="minorEastAsia"/>
          <w:shd w:val="clear" w:color="auto" w:fill="ffffff"/>
        </w:rPr>
        <w:t xml:space="preserve">муниципальных </w:t>
      </w:r>
      <w:r>
        <w:rPr>
          <w:rFonts w:eastAsiaTheme="minorHAnsi"/>
          <w:lang w:eastAsia="en-US"/>
        </w:rPr>
        <w:t xml:space="preserve">котельных Тайшетского городского поселения представлены</w:t>
      </w:r>
      <w:r>
        <w:rPr>
          <w:rFonts w:eastAsiaTheme="minorEastAsia"/>
          <w:shd w:val="clear" w:color="auto" w:fill="ffffff"/>
        </w:rPr>
        <w:t xml:space="preserve"> в Приложении 1 к Схеме теплоснабжения «</w:t>
      </w:r>
      <w:r>
        <w:rPr>
          <w:rFonts w:eastAsiaTheme="minorHAnsi"/>
          <w:lang w:eastAsia="en-US"/>
        </w:rPr>
        <w:t xml:space="preserve">Картографическая часть</w:t>
      </w:r>
      <w:r>
        <w:rPr>
          <w:rFonts w:eastAsiaTheme="minorHAnsi"/>
          <w:lang w:eastAsia="en-US"/>
        </w:rPr>
        <w:t xml:space="preserve"> схемы теплоснабжения».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Параметры тепловых сетей котельной </w:t>
      </w:r>
      <w:r>
        <w:t xml:space="preserve">№1 (ТКСИ) </w:t>
      </w:r>
      <w:r>
        <w:rPr>
          <w:rFonts w:eastAsiaTheme="minorHAnsi"/>
          <w:lang w:eastAsia="en-US"/>
        </w:rPr>
        <w:t xml:space="preserve">представлены в Таблице 10.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Таблица 10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Параметры тепловых сетей котельной </w:t>
      </w:r>
      <w:r>
        <w:t xml:space="preserve">№1 (ТКСИ)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tbl>
      <w:tblPr>
        <w:tblW w:w="9498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4536"/>
        <w:gridCol w:w="4394"/>
      </w:tblGrid>
      <w:tr>
        <w:tblPrEx/>
        <w:trPr/>
        <w:tc>
          <w:tcPr>
            <w:tcW w:w="5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№ п/п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Наименование параметра тепловых сетей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Значение параметра тепловых сетей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Год начала эксплуатации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1985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Наружный диаметр, мм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32-700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Материал изготовления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Сталь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Схема исполнения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Двухтрубная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Конструкция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Тупиковая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Протяженность в двухтрубном исполнении, км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10,041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Глубина прокладки, 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2-3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Тип изоляции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Минеральная вата, ППУ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Тип компенсирующих устройств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Углы поворота теплотрассы, П-образные компенсаторы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Тип прокладки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Надземная, подземная в непроходных каналах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Давление сетевой воды в подающем трубопроводе, кг/см</w:t>
            </w:r>
            <w:r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Давление сетевой воды в обратном трубопроводе, кг/см</w:t>
            </w:r>
            <w:r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2,1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Температура сетевой воды в подающем трубопроводе, </w:t>
            </w:r>
            <w:r>
              <w:rPr>
                <w:rFonts w:eastAsiaTheme="minorEastAsia"/>
                <w:sz w:val="22"/>
                <w:szCs w:val="22"/>
              </w:rPr>
              <w:t xml:space="preserve">°С (при температуре наружного воздуха -33 °С)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Температура сетевой воды в обратном трубопроводе, </w:t>
            </w:r>
            <w:r>
              <w:rPr>
                <w:rFonts w:eastAsiaTheme="minorEastAsia"/>
                <w:sz w:val="22"/>
                <w:szCs w:val="22"/>
              </w:rPr>
              <w:t xml:space="preserve">°С (при температуре наружного воздуха -33 °С)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Тепловая нагрузка потребителей, подключенных к тепловым сетям, Гкал/час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24,65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Эксплуатационный срок службы, лет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Износ, %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67,7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Состояние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trike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Требуется техническое перевооружение участков</w:t>
            </w:r>
            <w:r>
              <w:rPr>
                <w:rFonts w:eastAsiaTheme="minorEastAsia"/>
                <w:strike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trike/>
                <w:sz w:val="22"/>
                <w:szCs w:val="22"/>
                <w:shd w:val="clear" w:color="auto" w:fill="ffffff"/>
              </w:rPr>
            </w:r>
          </w:p>
        </w:tc>
      </w:tr>
    </w:tbl>
    <w:p>
      <w:pPr>
        <w:ind w:firstLine="709"/>
        <w:jc w:val="both"/>
        <w:spacing w:before="120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Параметры тепловых сетей котельной №2 (ШПЗ) представлены в Таблице 11.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Таблица 11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Параметры тепловых сетей котельной </w:t>
      </w:r>
      <w:r>
        <w:rPr>
          <w:rFonts w:eastAsiaTheme="minorEastAsia"/>
        </w:rPr>
        <w:t xml:space="preserve">№2 (ШПЗ)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536"/>
        <w:gridCol w:w="4253"/>
      </w:tblGrid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№ п/п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Наименование параметра тепловых сетей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Значение параметра тепловых сетей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Год начала эксплуатации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1976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Наружный диаметр, мм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32-600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Материал изготовления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Сталь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Схема исполнения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Двухтрубная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Конструкция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Тупиковая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Протяженность в двухтрубном исполнении, км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13,954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Глубина прокладки, 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2-3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Тип изоляции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Минеральная вата, ППУ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Тип компенсирующих устройств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Углы поворота теплотрассы, П-образные компенсаторы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Тип прокладки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Надземная, подземная в непроходных каналах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Давление сетевой воды в подающем трубопроводе, кг/см</w:t>
            </w:r>
            <w:r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7,2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Давление сетевой воды в обратном трубопроводе, кг/см</w:t>
            </w:r>
            <w:r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Температура сетевой воды в подающем трубопроводе, </w:t>
            </w:r>
            <w:r>
              <w:rPr>
                <w:rFonts w:eastAsiaTheme="minorEastAsia"/>
                <w:sz w:val="22"/>
                <w:szCs w:val="22"/>
              </w:rPr>
              <w:t xml:space="preserve">°С (при температуре наружного воздуха -33 °С)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Температура сетевой воды в обратном трубопроводе, </w:t>
            </w:r>
            <w:r>
              <w:rPr>
                <w:rFonts w:eastAsiaTheme="minorEastAsia"/>
                <w:sz w:val="22"/>
                <w:szCs w:val="22"/>
              </w:rPr>
              <w:t xml:space="preserve">°С (при температуре наружного воздуха -33 °С)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Тепловая нагрузка потребителей, подключенных к тепловым сетям, Гкал/час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33,70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Эксплуатационный срок службы, лет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Износ, %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61,8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Состояние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trike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Требуется техническое перевооружение участков</w:t>
            </w:r>
            <w:r>
              <w:rPr>
                <w:rFonts w:eastAsiaTheme="minorEastAsia"/>
                <w:strike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trike/>
                <w:sz w:val="22"/>
                <w:szCs w:val="22"/>
                <w:shd w:val="clear" w:color="auto" w:fill="ffffff"/>
              </w:rPr>
            </w:r>
          </w:p>
        </w:tc>
      </w:tr>
    </w:tbl>
    <w:p>
      <w:pPr>
        <w:ind w:firstLine="0"/>
        <w:jc w:val="both"/>
        <w:spacing w:before="12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Параметры тепловых сетей котельной </w:t>
      </w:r>
      <w:r>
        <w:rPr>
          <w:rFonts w:eastAsiaTheme="minorEastAsia"/>
        </w:rPr>
        <w:t xml:space="preserve">№3 (Мелькомбинат)</w:t>
      </w:r>
      <w:r>
        <w:rPr>
          <w:rFonts w:eastAsiaTheme="minorHAnsi"/>
          <w:lang w:eastAsia="en-US"/>
        </w:rPr>
        <w:t xml:space="preserve"> представлены в Таблице 12.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Таблица 12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Параметры тепловых сетей котельной </w:t>
      </w:r>
      <w:r>
        <w:rPr>
          <w:rFonts w:eastAsiaTheme="minorEastAsia"/>
        </w:rPr>
        <w:t xml:space="preserve">№3 (Мелькомбинат)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tbl>
      <w:tblPr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394"/>
        <w:gridCol w:w="4253"/>
      </w:tblGrid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№ п/п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Наименование параметра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тепловых сетей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Значение параметра тепловых сетей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Год начала эксплуатации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1979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Наружный диаметр, мм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32-273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Материал изготовления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Сталь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Схема исполнения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Двухтрубная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Конструкция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Тупиковая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Протяженность в двухтрубном исполнении, км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3,266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Глубина прокладки, 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2-3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Тип изоляции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Минеральная вата, ППУ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Тип компенсирующих устройств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Углы поворота теплотрассы, П-образные компенсаторы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Тип прокладки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Надземная, подземная в непроходных каналах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Давление сетевой воды в подающем трубопроводе, кг/см</w:t>
            </w:r>
            <w:r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Давление сетевой воды в обратном трубопроводе, кг/см</w:t>
            </w:r>
            <w:r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Температура сетевой воды в подающем трубопроводе, </w:t>
            </w:r>
            <w:r>
              <w:rPr>
                <w:rFonts w:eastAsiaTheme="minorEastAsia"/>
                <w:sz w:val="22"/>
                <w:szCs w:val="22"/>
              </w:rPr>
              <w:t xml:space="preserve">°С (при температуре наружного воздуха -33 °С)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80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Температура сетевой воды в обратном трубопроводе, </w:t>
            </w:r>
            <w:r>
              <w:rPr>
                <w:rFonts w:eastAsiaTheme="minorEastAsia"/>
                <w:sz w:val="22"/>
                <w:szCs w:val="22"/>
              </w:rPr>
              <w:t xml:space="preserve">°С (при температуре наружного воздуха -33 °С)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Тепловая нагрузка потребителей, подключенных к тепловым сетям, Гкал/час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val="en-US" w:eastAsia="en-US"/>
              </w:rPr>
            </w:pPr>
            <w:r>
              <w:rPr>
                <w:rFonts w:eastAsiaTheme="minorHAnsi"/>
                <w:sz w:val="22"/>
                <w:szCs w:val="22"/>
                <w:lang w:val="en-US" w:eastAsia="en-US"/>
              </w:rPr>
              <w:t xml:space="preserve">2,22</w:t>
            </w:r>
            <w:r>
              <w:rPr>
                <w:rFonts w:eastAsiaTheme="minorHAnsi"/>
                <w:sz w:val="22"/>
                <w:szCs w:val="22"/>
                <w:lang w:val="en-US" w:eastAsia="en-US"/>
              </w:rPr>
            </w:r>
            <w:r>
              <w:rPr>
                <w:rFonts w:eastAsiaTheme="minorHAnsi"/>
                <w:sz w:val="22"/>
                <w:szCs w:val="22"/>
                <w:lang w:val="en-US" w:eastAsia="en-US"/>
              </w:rPr>
            </w:r>
          </w:p>
        </w:tc>
      </w:tr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Эксплуатационный срок службы, лет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Износ, %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77,9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Состояние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Требуется техническое перевооружение участков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</w:tbl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0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Параметры тепловых сетей котельной №4 (Экспедиция 5) представлены в Таблице 13.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Таблица 13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Параметры тепловых сетей котельной </w:t>
      </w:r>
      <w:r>
        <w:rPr>
          <w:rFonts w:eastAsiaTheme="minorEastAsia"/>
        </w:rPr>
        <w:t xml:space="preserve">№4 (Экспедиция 5)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tbl>
      <w:tblPr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536"/>
        <w:gridCol w:w="4253"/>
      </w:tblGrid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№ п/п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Наименование параметра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тепловых сетей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Значение параметра тепловых сетей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Год начала эксплуатации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1989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Наружный диаметр, мм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50-219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Материал изготовления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Сталь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Схема исполнения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Двухтрубная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Конструкция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Тупиковая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Протяженность в двухтрубном исполнении, км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1,965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Глубина прокладки, 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2-3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Тип изоляции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Минеральная вата, ППУ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Тип компенсирующих устройств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Углы поворота теплотрассы, П-образные компенсаторы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Тип прокладки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Надземная, подземная в непроходных каналах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Давление сетевой воды в подающем трубопроводе, кг/см</w:t>
            </w:r>
            <w:r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Давление сетевой воды в обратном трубопроводе, кг/см</w:t>
            </w:r>
            <w:r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Температура сетевой воды в подающем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трубопроводе, </w:t>
            </w:r>
            <w:r>
              <w:rPr>
                <w:rFonts w:eastAsiaTheme="minorEastAsia"/>
                <w:sz w:val="22"/>
                <w:szCs w:val="22"/>
              </w:rPr>
              <w:t xml:space="preserve">°С (при температуре наружного воздуха -33 °С)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Температура сетевой воды в обратном трубопроводе, </w:t>
            </w:r>
            <w:r>
              <w:rPr>
                <w:rFonts w:eastAsiaTheme="minorEastAsia"/>
                <w:sz w:val="22"/>
                <w:szCs w:val="22"/>
              </w:rPr>
              <w:t xml:space="preserve">°С (при температуре наружного воздуха -33 °С)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Тепловая нагрузка потребителей, подключенных к тепловым сетям, Гкал/час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Эксплуатационный срок службы, лет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Износ, %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62,2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Состояние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Требуется техническое перевооружение участков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</w:tbl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  <w:t xml:space="preserve"> </w:t>
      </w:r>
      <w:r>
        <w:rPr>
          <w:rFonts w:eastAsiaTheme="minorEastAsia"/>
          <w:shd w:val="clear" w:color="auto" w:fill="ffffff"/>
        </w:rPr>
        <w:t xml:space="preserve">Параметры тепловых сетей котельной №5 (Совхоз) представлены в Таблице 14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Таблица 14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Параметры тепловых сетей котельной </w:t>
      </w:r>
      <w:r>
        <w:rPr>
          <w:rFonts w:eastAsiaTheme="minorEastAsia"/>
        </w:rPr>
        <w:t xml:space="preserve">№5 (Совхоз) 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tbl>
      <w:tblPr>
        <w:tblW w:w="9356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536"/>
        <w:gridCol w:w="4253"/>
      </w:tblGrid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№ п/п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Наименование параметра тепловых сетей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Значение параметра тепловых сетей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Год начала эксплуатации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1979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Наружный диаметр, мм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32-125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Материал изготовления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Сталь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Схема исполнения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Двухтрубная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Конструкция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Тупиковая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Протяженность в двухтрубном исполнении, км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1,241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Глубина прокладки, 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2-3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Тип изоляции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Минеральная вата, ППУ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Тип компенсирующих устройств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Углы поворота теплотрассы, П-образные компенсаторы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Тип прокладки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Надземная, подземная в непроходных каналах 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Давление сетевой воды в подающем трубопроводе, кг/см</w:t>
            </w:r>
            <w:r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Давление сетевой воды в обратном трубопроводе, кг/см</w:t>
            </w:r>
            <w:r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Температура сетевой воды в подающем трубопроводе, </w:t>
            </w:r>
            <w:r>
              <w:rPr>
                <w:rFonts w:eastAsiaTheme="minorEastAsia"/>
                <w:sz w:val="22"/>
                <w:szCs w:val="22"/>
              </w:rPr>
              <w:t xml:space="preserve">°С (при температуре наружного воздуха -33 °С)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Температура сетевой воды в обратном трубопроводе, </w:t>
            </w:r>
            <w:r>
              <w:rPr>
                <w:rFonts w:eastAsiaTheme="minorEastAsia"/>
                <w:sz w:val="22"/>
                <w:szCs w:val="22"/>
              </w:rPr>
              <w:t xml:space="preserve">°С (при температуре наружного воздуха -33 °С)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Тепловая нагрузка потребителей, подключенных к тепловым сетям, Гкал/час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Эксплуатационный срок службы, лет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Износ, %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93,5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3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Состояние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Требуется техническое перевооружение участков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</w:tbl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Параметры тепловых сетей электрокотельной ДТВ ОАО «РЖД» представлены в Таблице 15.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Таблица 15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Параметры тепловых сетей электрокотельной </w:t>
      </w:r>
      <w:r>
        <w:rPr>
          <w:rFonts w:eastAsiaTheme="minorEastAsia"/>
          <w:shd w:val="clear" w:color="auto" w:fill="ffffff"/>
        </w:rPr>
        <w:t xml:space="preserve">ДТВ ОАО «РЖД»</w:t>
      </w:r>
      <w:r>
        <w:rPr>
          <w:rFonts w:eastAsiaTheme="minorEastAsia"/>
        </w:rPr>
        <w:t xml:space="preserve"> 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tbl>
      <w:tblPr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731"/>
        <w:gridCol w:w="4058"/>
      </w:tblGrid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№ п/п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73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Наименование параметра тепловых сетей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05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Значение параметра тепловых сетей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73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Год начала эксплуатации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05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1992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73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Наружный диаметр, мм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05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100-620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73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Материал изготовления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05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Сталь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73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Схема исполнения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05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Двухтрубная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73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Конструкция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05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Тупиковая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73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Протяженность в двухтрубном исполнении, км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05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2,113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73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Глубина прокладки, 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05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2-3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73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Тип изоляции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05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Минеральная вата, ППУ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73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Тип компенсирующих устройств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05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Отсутствуют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73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Тип прокладки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05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Надземная, подземная в непроходных каналах 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73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Давление сетевой воды в подающем трубопроводе, кг/см</w:t>
            </w:r>
            <w:r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05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73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Давление сетевой воды в обратном трубопроводе, кг/см</w:t>
            </w:r>
            <w:r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05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73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Температура сетевой воды в подающем трубопроводе, </w:t>
            </w:r>
            <w:r>
              <w:rPr>
                <w:rFonts w:eastAsiaTheme="minorEastAsia"/>
                <w:sz w:val="22"/>
                <w:szCs w:val="22"/>
              </w:rPr>
              <w:t xml:space="preserve">°С (при температуре наружного воздуха -33 °С)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05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73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Температура сетевой воды в обратном трубопроводе, </w:t>
            </w:r>
            <w:r>
              <w:rPr>
                <w:rFonts w:eastAsiaTheme="minorEastAsia"/>
                <w:sz w:val="22"/>
                <w:szCs w:val="22"/>
              </w:rPr>
              <w:t xml:space="preserve">°С (при температуре наружного воздуха -33 °С)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05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73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Тепловая нагрузка потребителей, подключенных к тепловым сетям, Гкал/час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05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6,86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73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Эксплуатационный срок службы, лет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05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73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Износ, %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05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95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73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Состояние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05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Требуется техническое перевооружение участков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</w:tbl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  <w:t xml:space="preserve"> </w:t>
      </w:r>
      <w:r>
        <w:rPr>
          <w:rFonts w:eastAsiaTheme="minorEastAsia"/>
          <w:shd w:val="clear" w:color="auto" w:fill="ffffff"/>
        </w:rPr>
        <w:t xml:space="preserve">Параметры тепловых сетей электрокотельной ПС-500 представлены в Таблице 16.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Таблица 16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Параметры тепловых сетей электрокотельной </w:t>
      </w:r>
      <w:r>
        <w:rPr>
          <w:rFonts w:eastAsiaTheme="minorEastAsia"/>
          <w:shd w:val="clear" w:color="auto" w:fill="ffffff"/>
        </w:rPr>
        <w:t xml:space="preserve">ПС-500</w:t>
      </w:r>
      <w:r>
        <w:rPr>
          <w:rFonts w:eastAsiaTheme="minorEastAsia"/>
        </w:rPr>
        <w:t xml:space="preserve"> 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4677"/>
        <w:gridCol w:w="4253"/>
      </w:tblGrid>
      <w:tr>
        <w:tblPrEx/>
        <w:trPr/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№ п/п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67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Наименование параметра тепловых сетей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Значение параметра тепловых сетей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67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Год начала эксплуатации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67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Наружный диаметр, мм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40-100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67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Материал изготовления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Сталь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67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Схема исполнения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Двухтрубная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67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Конструкция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Тупиковая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67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Протяженность в двухтрубном исполнении, км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0,885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67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Глубина прокладки, 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2-3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67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Тип изоляции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Минеральная вата, ППУ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67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Тип компенсирующих устройств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Углы поворота теплотрассы, П-образные компенсаторы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67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Тип прокладки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Надземная, подземная в непроходных каналах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67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Давление сетевой воды в подающем трубопроводе, кг/см</w:t>
            </w:r>
            <w:r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67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Давление сетевой воды в обратном трубопроводе, кг/см</w:t>
            </w:r>
            <w:r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67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Температура сетевой воды в подающем трубопроводе, </w:t>
            </w:r>
            <w:r>
              <w:rPr>
                <w:rFonts w:eastAsiaTheme="minorEastAsia"/>
                <w:sz w:val="22"/>
                <w:szCs w:val="22"/>
              </w:rPr>
              <w:t xml:space="preserve">°С (при температуре наружного воздуха -33 °С)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67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Температура сетевой воды в обратном трубопроводе, </w:t>
            </w:r>
            <w:r>
              <w:rPr>
                <w:rFonts w:eastAsiaTheme="minorEastAsia"/>
                <w:sz w:val="22"/>
                <w:szCs w:val="22"/>
              </w:rPr>
              <w:t xml:space="preserve">°С (при температуре наружного воздуха -33 °С)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67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Тепловая нагрузка потребителей, подключенных к тепловым сетям, Гкал/час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0,2596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67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Эксплуатационный срок службы, лет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67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Износ, %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67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Состояние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left" w:pos="1276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</w:tbl>
    <w:p>
      <w:pPr>
        <w:ind w:firstLine="709"/>
        <w:jc w:val="both"/>
        <w:rPr>
          <w:rFonts w:eastAsiaTheme="minorEastAsia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Вводные задвижки и шаровые краны на тепловых сетях муниципальных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размещены в индивидуальных тепловых пунктах многоквартирных домов, индивидуальных жилых домов и общественных зданий потребителей тепловой энергии.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Фактические температурные режимы отпуска тепловой энергии в тепловые сети </w:t>
      </w:r>
      <w:r>
        <w:rPr>
          <w:rFonts w:eastAsiaTheme="minorEastAsia"/>
          <w:shd w:val="clear" w:color="auto" w:fill="ffffff"/>
        </w:rPr>
        <w:t xml:space="preserve">муниципальных </w:t>
      </w:r>
      <w:r>
        <w:rPr>
          <w:rFonts w:eastAsiaTheme="minorHAnsi"/>
          <w:lang w:eastAsia="en-US"/>
        </w:rPr>
        <w:t xml:space="preserve">котельных Тайшетского городского поселения соответствуют утвержденным графикам регулирования отпуска тепловой энергии в тепловые сети муниципальных котельных.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widowControl w:val="off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Пьезометрические графики работы тепловых сетей эксплуатирующей организации отсутствуют.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widowControl w:val="off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Отказы тепловых сетей </w:t>
      </w:r>
      <w:r>
        <w:rPr>
          <w:rFonts w:eastAsiaTheme="minorEastAsia"/>
          <w:shd w:val="clear" w:color="auto" w:fill="ffffff"/>
        </w:rPr>
        <w:t xml:space="preserve">муниципальных </w:t>
      </w:r>
      <w:r>
        <w:rPr>
          <w:rFonts w:eastAsiaTheme="minorHAnsi"/>
          <w:lang w:eastAsia="en-US"/>
        </w:rPr>
        <w:t xml:space="preserve">котельных Тайшетского городского поселения в виде аварий и инцидентов за последние 5 лет не зафиксированы. Восстановления (аварийно-восстановительные ремонты) тепловых сетей муниципальных </w:t>
      </w:r>
      <w:r>
        <w:rPr>
          <w:rFonts w:eastAsiaTheme="minorEastAsia"/>
          <w:shd w:val="clear" w:color="auto" w:fill="ffffff"/>
        </w:rPr>
        <w:t xml:space="preserve">котельных </w:t>
      </w:r>
      <w:r>
        <w:rPr>
          <w:rFonts w:eastAsiaTheme="minorHAnsi"/>
          <w:lang w:eastAsia="en-US"/>
        </w:rPr>
        <w:t xml:space="preserve">за последние 5 лет не выполнялись.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widowControl w:val="off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целях диагностики состояния тепловых сетей </w:t>
      </w:r>
      <w:r>
        <w:rPr>
          <w:rFonts w:eastAsiaTheme="minorEastAsia"/>
          <w:shd w:val="clear" w:color="auto" w:fill="ffffff"/>
        </w:rPr>
        <w:t xml:space="preserve">муниципальных </w:t>
      </w:r>
      <w:r>
        <w:rPr>
          <w:rFonts w:eastAsiaTheme="minorHAnsi"/>
          <w:lang w:eastAsia="en-US"/>
        </w:rPr>
        <w:t xml:space="preserve">котельных Тайшетского городского поселения проводятся гидравлические и температурные испытания теплотрасс.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городе Тайшете после окончания отопительного сезона проводятся гидравлические испытания на плотность и прочность тепловых сетей. После проведения испытаний производ</w:t>
      </w:r>
      <w:r>
        <w:rPr>
          <w:rFonts w:eastAsiaTheme="minorHAnsi"/>
          <w:lang w:eastAsia="en-US"/>
        </w:rPr>
        <w:t xml:space="preserve">ится капитальный ремонт тепловых сетей и оборудования. По окончании капитального ремонта, перед началом нового отопительного сезона, проводятся еще одни гидравлические испытания. Температурные испытания и испытания на тепловые потери проведены в 2023 году.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Нормативы технологических потерь при передаче тепловой энергии (мощности) тепловыми сетями</w:t>
      </w:r>
      <w:r>
        <w:rPr>
          <w:rFonts w:eastAsiaTheme="minorEastAsia"/>
          <w:shd w:val="clear" w:color="auto" w:fill="ffffff"/>
        </w:rPr>
        <w:t xml:space="preserve"> </w:t>
      </w:r>
      <w:r>
        <w:rPr>
          <w:rFonts w:eastAsiaTheme="minorHAnsi"/>
          <w:lang w:eastAsia="en-US"/>
        </w:rPr>
        <w:t xml:space="preserve">муниципальной котельной, включаемые в расчет отпущенных тепловой энергии (мощности) и тепловых сетей, складываются из тепловых потерь через тепловую изоляцию трубопроводов тепловых сетей, с утечками теплоносителя. Расчеты нормативов технологиче</w:t>
      </w:r>
      <w:r>
        <w:rPr>
          <w:rFonts w:eastAsiaTheme="minorHAnsi"/>
          <w:lang w:eastAsia="en-US"/>
        </w:rPr>
        <w:t xml:space="preserve">ских потерь теплоносителя и тепловой энергии производятся в соответствии с Приказом Министерства энергетики РФ от 30 декабря 2008 года №325 «Об утверждении порядка определения нормативов технологических потерь при передаче тепловой энергии, теплоносителя».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Технологические потери при передаче тепловой энергии (мощности) потребителям тепловыми сетями котельной №1 (ТКСИ) в отчетном (базовом) 202</w:t>
      </w:r>
      <w:r>
        <w:rPr>
          <w:rFonts w:eastAsiaTheme="minorHAnsi"/>
          <w:lang w:eastAsia="en-US"/>
        </w:rPr>
        <w:t xml:space="preserve">4</w:t>
      </w:r>
      <w:r>
        <w:rPr>
          <w:rFonts w:eastAsiaTheme="minorHAnsi"/>
          <w:lang w:eastAsia="en-US"/>
        </w:rPr>
        <w:t xml:space="preserve"> году составили </w:t>
      </w:r>
      <w:r>
        <w:rPr>
          <w:rFonts w:eastAsiaTheme="minorHAnsi"/>
          <w:lang w:eastAsia="en-US"/>
        </w:rPr>
        <w:t xml:space="preserve">18035,8</w:t>
      </w:r>
      <w:r>
        <w:rPr>
          <w:rFonts w:eastAsiaTheme="minorHAnsi"/>
          <w:lang w:eastAsia="en-US"/>
        </w:rPr>
        <w:t xml:space="preserve"> Гкал.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Технологические потери при передаче тепловой энергии (мощности) потребителям тепловыми сетями котельной №2 (ШПЗ) в отчетном (базовом) 202</w:t>
      </w:r>
      <w:r>
        <w:rPr>
          <w:rFonts w:eastAsiaTheme="minorHAnsi"/>
          <w:lang w:eastAsia="en-US"/>
        </w:rPr>
        <w:t xml:space="preserve">4</w:t>
      </w:r>
      <w:r>
        <w:rPr>
          <w:rFonts w:eastAsiaTheme="minorHAnsi"/>
          <w:lang w:eastAsia="en-US"/>
        </w:rPr>
        <w:t xml:space="preserve"> году составили </w:t>
      </w:r>
      <w:r>
        <w:rPr>
          <w:rFonts w:eastAsiaTheme="minorHAnsi"/>
          <w:lang w:eastAsia="en-US"/>
        </w:rPr>
        <w:t xml:space="preserve">14646,9</w:t>
      </w:r>
      <w:r>
        <w:rPr>
          <w:rFonts w:eastAsiaTheme="minorHAnsi"/>
          <w:lang w:eastAsia="en-US"/>
        </w:rPr>
        <w:t xml:space="preserve"> Гкал.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Технологические потери при передаче тепловой энергии (мощности) потребителям тепловыми сетями котельной </w:t>
      </w:r>
      <w:r>
        <w:t xml:space="preserve">№3 (Мелькомбинат)</w:t>
      </w:r>
      <w:r>
        <w:rPr>
          <w:rFonts w:eastAsiaTheme="minorEastAsia"/>
          <w:shd w:val="clear" w:color="auto" w:fill="ffffff"/>
        </w:rPr>
        <w:t xml:space="preserve"> </w:t>
      </w:r>
      <w:r>
        <w:rPr>
          <w:rFonts w:eastAsiaTheme="minorHAnsi"/>
          <w:lang w:eastAsia="en-US"/>
        </w:rPr>
        <w:t xml:space="preserve">в отчетном (базовом) 202</w:t>
      </w:r>
      <w:r>
        <w:rPr>
          <w:rFonts w:eastAsiaTheme="minorHAnsi"/>
          <w:lang w:eastAsia="en-US"/>
        </w:rPr>
        <w:t xml:space="preserve">4</w:t>
      </w:r>
      <w:r>
        <w:rPr>
          <w:rFonts w:eastAsiaTheme="minorHAnsi"/>
          <w:lang w:eastAsia="en-US"/>
        </w:rPr>
        <w:t xml:space="preserve"> году составили 2</w:t>
      </w:r>
      <w:r>
        <w:rPr>
          <w:rFonts w:eastAsiaTheme="minorHAnsi"/>
          <w:lang w:eastAsia="en-US"/>
        </w:rPr>
        <w:t xml:space="preserve">414,2</w:t>
      </w:r>
      <w:r>
        <w:rPr>
          <w:rFonts w:eastAsiaTheme="minorHAnsi"/>
          <w:lang w:eastAsia="en-US"/>
        </w:rPr>
        <w:t xml:space="preserve"> Гкал.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Технологические потери при передаче тепловой энергии (мощности) потребителям тепловыми сетями котельной </w:t>
      </w:r>
      <w:r>
        <w:t xml:space="preserve">№4 (Экспедиция 5)</w:t>
      </w:r>
      <w:r>
        <w:rPr>
          <w:rFonts w:eastAsiaTheme="minorEastAsia"/>
          <w:shd w:val="clear" w:color="auto" w:fill="ffffff"/>
        </w:rPr>
        <w:t xml:space="preserve"> </w:t>
      </w:r>
      <w:r>
        <w:rPr>
          <w:rFonts w:eastAsiaTheme="minorHAnsi"/>
          <w:lang w:eastAsia="en-US"/>
        </w:rPr>
        <w:t xml:space="preserve">в отчетном (базовом) 202</w:t>
      </w:r>
      <w:r>
        <w:rPr>
          <w:rFonts w:eastAsiaTheme="minorHAnsi"/>
          <w:lang w:eastAsia="en-US"/>
        </w:rPr>
        <w:t xml:space="preserve">4</w:t>
      </w:r>
      <w:r>
        <w:rPr>
          <w:rFonts w:eastAsiaTheme="minorHAnsi"/>
          <w:lang w:eastAsia="en-US"/>
        </w:rPr>
        <w:t xml:space="preserve"> году составили </w:t>
      </w:r>
      <w:r>
        <w:rPr>
          <w:rFonts w:eastAsiaTheme="minorHAnsi"/>
          <w:lang w:eastAsia="en-US"/>
        </w:rPr>
        <w:t xml:space="preserve">1416,7</w:t>
      </w:r>
      <w:r>
        <w:rPr>
          <w:rFonts w:eastAsiaTheme="minorHAnsi"/>
          <w:lang w:eastAsia="en-US"/>
        </w:rPr>
        <w:t xml:space="preserve"> Гкал.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Технологические потери при передаче тепловой энергии (мощности) потребителям тепловыми сетями котельной </w:t>
      </w:r>
      <w:r>
        <w:t xml:space="preserve">№ 5 (Совхоз)</w:t>
      </w:r>
      <w:r>
        <w:rPr>
          <w:rFonts w:eastAsiaTheme="minorEastAsia"/>
          <w:shd w:val="clear" w:color="auto" w:fill="ffffff"/>
        </w:rPr>
        <w:t xml:space="preserve"> </w:t>
      </w:r>
      <w:r>
        <w:rPr>
          <w:rFonts w:eastAsiaTheme="minorHAnsi"/>
          <w:lang w:eastAsia="en-US"/>
        </w:rPr>
        <w:t xml:space="preserve">в отчетном (базовом) 202</w:t>
      </w:r>
      <w:r>
        <w:rPr>
          <w:rFonts w:eastAsiaTheme="minorHAnsi"/>
          <w:lang w:eastAsia="en-US"/>
        </w:rPr>
        <w:t xml:space="preserve">4</w:t>
      </w:r>
      <w:r>
        <w:rPr>
          <w:rFonts w:eastAsiaTheme="minorHAnsi"/>
          <w:lang w:eastAsia="en-US"/>
        </w:rPr>
        <w:t xml:space="preserve"> году составили </w:t>
      </w:r>
      <w:r>
        <w:rPr>
          <w:rFonts w:eastAsiaTheme="minorHAnsi"/>
          <w:lang w:eastAsia="en-US"/>
        </w:rPr>
        <w:t xml:space="preserve">556,1</w:t>
      </w:r>
      <w:r>
        <w:rPr>
          <w:rFonts w:eastAsiaTheme="minorHAnsi"/>
          <w:lang w:eastAsia="en-US"/>
        </w:rPr>
        <w:t xml:space="preserve"> Гкал.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Предписания надзорных органов по запрещению дальнейшей эксплуатации участков тепловых сетей </w:t>
      </w:r>
      <w:r>
        <w:rPr>
          <w:rFonts w:eastAsiaTheme="minorEastAsia"/>
          <w:shd w:val="clear" w:color="auto" w:fill="ffffff"/>
        </w:rPr>
        <w:t xml:space="preserve">муниципальных котельных Тайшетского городского поселения </w:t>
      </w:r>
      <w:r>
        <w:rPr>
          <w:rFonts w:eastAsiaTheme="minorHAnsi"/>
          <w:lang w:eastAsia="en-US"/>
        </w:rPr>
        <w:t xml:space="preserve">в отчетном (базовом) 202</w:t>
      </w:r>
      <w:r>
        <w:rPr>
          <w:rFonts w:eastAsiaTheme="minorHAnsi"/>
          <w:lang w:eastAsia="en-US"/>
        </w:rPr>
        <w:t xml:space="preserve">4</w:t>
      </w:r>
      <w:r>
        <w:rPr>
          <w:rFonts w:eastAsiaTheme="minorHAnsi"/>
          <w:lang w:eastAsia="en-US"/>
        </w:rPr>
        <w:t xml:space="preserve"> году не выносились.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shd w:val="clear" w:color="auto" w:fill="ffffff"/>
        <w:widowControl w:val="off"/>
        <w:rPr>
          <w:rFonts w:eastAsiaTheme="minorEastAsia"/>
          <w:spacing w:val="1"/>
          <w:shd w:val="clear" w:color="auto" w:fill="ffffff"/>
        </w:rPr>
      </w:pPr>
      <w:r>
        <w:rPr>
          <w:rFonts w:eastAsiaTheme="minorEastAsia"/>
          <w:spacing w:val="1"/>
          <w:shd w:val="clear" w:color="auto" w:fill="ffffff"/>
        </w:rPr>
        <w:t xml:space="preserve">Все теплопотребляющие установки потребителей подключены к тепловым сетям непосредственно (без смешения) по зависимой схеме, по закрытой системе теплоснабжения (кроме котельной №1(ТКСИ).</w:t>
      </w:r>
      <w:r>
        <w:rPr>
          <w:rFonts w:eastAsiaTheme="minorEastAsia"/>
          <w:spacing w:val="1"/>
          <w:shd w:val="clear" w:color="auto" w:fill="ffffff"/>
        </w:rPr>
      </w:r>
      <w:r>
        <w:rPr>
          <w:rFonts w:eastAsiaTheme="minorEastAsia"/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rFonts w:eastAsiaTheme="minorEastAsia"/>
          <w:spacing w:val="1"/>
          <w:shd w:val="clear" w:color="auto" w:fill="ffffff"/>
        </w:rPr>
      </w:pPr>
      <w:r>
        <w:rPr>
          <w:rFonts w:eastAsiaTheme="minorHAnsi"/>
          <w:lang w:eastAsia="en-US"/>
        </w:rPr>
        <w:t xml:space="preserve">Приборы коммерческого учета тепловой энергии, отпущенной потребителям из тепловых сетей </w:t>
      </w:r>
      <w:r>
        <w:rPr>
          <w:rFonts w:eastAsiaTheme="minorEastAsia"/>
          <w:shd w:val="clear" w:color="auto" w:fill="ffffff"/>
        </w:rPr>
        <w:t xml:space="preserve">муниципальных котельных Тайшетского городского поселения</w:t>
      </w:r>
      <w:r>
        <w:rPr>
          <w:rFonts w:eastAsiaTheme="minorHAnsi"/>
          <w:lang w:eastAsia="en-US"/>
        </w:rPr>
        <w:t xml:space="preserve">, по состоянию на отчетный (базовый) 202</w:t>
      </w:r>
      <w:r>
        <w:rPr>
          <w:rFonts w:eastAsiaTheme="minorHAnsi"/>
          <w:lang w:eastAsia="en-US"/>
        </w:rPr>
        <w:t xml:space="preserve">4</w:t>
      </w:r>
      <w:r>
        <w:rPr>
          <w:rFonts w:eastAsiaTheme="minorHAnsi"/>
          <w:lang w:eastAsia="en-US"/>
        </w:rPr>
        <w:t xml:space="preserve"> год установлены у более 20% потребителей.</w:t>
      </w:r>
      <w:r>
        <w:rPr>
          <w:rFonts w:eastAsiaTheme="minorEastAsia"/>
          <w:spacing w:val="1"/>
          <w:shd w:val="clear" w:color="auto" w:fill="ffffff"/>
        </w:rPr>
      </w:r>
      <w:r>
        <w:rPr>
          <w:rFonts w:eastAsiaTheme="minorEastAsia"/>
          <w:spacing w:val="1"/>
          <w:shd w:val="clear" w:color="auto" w:fill="ffffff"/>
        </w:rPr>
      </w:r>
    </w:p>
    <w:p>
      <w:pPr>
        <w:jc w:val="center"/>
        <w:keepLines/>
        <w:keepNext/>
        <w:widowControl w:val="off"/>
        <w:rPr>
          <w:rFonts w:eastAsiaTheme="majorEastAsia"/>
          <w:bCs/>
          <w:shd w:val="clear" w:color="auto" w:fill="ffffff"/>
        </w:rPr>
      </w:pPr>
      <w:r/>
      <w:bookmarkStart w:id="62" w:name="_Toc149055593"/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</w:p>
    <w:p>
      <w:pPr>
        <w:jc w:val="center"/>
        <w:keepLines/>
        <w:keepNext/>
        <w:widowControl w:val="off"/>
        <w:rPr>
          <w:rFonts w:eastAsiaTheme="majorEastAsia"/>
          <w:bCs/>
          <w:shd w:val="clear" w:color="auto" w:fill="ffffff"/>
        </w:rPr>
      </w:pPr>
      <w:r>
        <w:rPr>
          <w:rFonts w:eastAsiaTheme="majorEastAsia"/>
          <w:bCs/>
          <w:shd w:val="clear" w:color="auto" w:fill="ffffff"/>
        </w:rPr>
        <w:t xml:space="preserve">Часть 4. Зоны действия источников тепловой энергии</w:t>
      </w:r>
      <w:bookmarkEnd w:id="62"/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rFonts w:eastAsiaTheme="minorEastAsia"/>
          <w:spacing w:val="1"/>
          <w:shd w:val="clear" w:color="auto" w:fill="ffffff"/>
        </w:rPr>
      </w:pPr>
      <w:r>
        <w:rPr>
          <w:rFonts w:eastAsiaTheme="minorEastAsia"/>
          <w:spacing w:val="1"/>
          <w:shd w:val="clear" w:color="auto" w:fill="ffffff"/>
        </w:rPr>
        <w:t xml:space="preserve">1. Котельная №1 (ТКСИ) является основным поставщиком тепловой энергии микрорайонов Новый, имени Пахотищева, имени Мясникова, </w:t>
      </w:r>
      <w:r>
        <w:rPr>
          <w:rFonts w:eastAsiaTheme="minorHAnsi"/>
          <w:szCs w:val="22"/>
          <w:lang w:eastAsia="en-US"/>
        </w:rPr>
        <w:t xml:space="preserve">село Старый Акульшет, микрорайон Солнечный, улицы Индустриальная и Архитекторов,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>
        <w:rPr>
          <w:rFonts w:eastAsiaTheme="minorEastAsia"/>
          <w:spacing w:val="1"/>
          <w:shd w:val="clear" w:color="auto" w:fill="ffffff"/>
        </w:rPr>
        <w:t xml:space="preserve">части улиц в Северном районе.</w:t>
      </w:r>
      <w:r>
        <w:rPr>
          <w:rFonts w:eastAsiaTheme="minorEastAsia"/>
          <w:spacing w:val="1"/>
          <w:shd w:val="clear" w:color="auto" w:fill="ffffff"/>
        </w:rPr>
      </w:r>
      <w:r>
        <w:rPr>
          <w:rFonts w:eastAsiaTheme="minorEastAsia"/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rFonts w:eastAsiaTheme="minorEastAsia"/>
          <w:spacing w:val="1"/>
          <w:shd w:val="clear" w:color="auto" w:fill="ffffff"/>
        </w:rPr>
      </w:pPr>
      <w:r>
        <w:rPr>
          <w:rFonts w:eastAsiaTheme="minorEastAsia"/>
          <w:spacing w:val="1"/>
          <w:shd w:val="clear" w:color="auto" w:fill="ffffff"/>
        </w:rPr>
        <w:t xml:space="preserve">2. Котельная №2 (ШПЗ) поставляет тепловую энергию потребителям, расположенным от ручья Крутенький в Центральном район</w:t>
      </w:r>
      <w:r>
        <w:rPr>
          <w:rFonts w:eastAsiaTheme="minorEastAsia"/>
          <w:spacing w:val="1"/>
          <w:shd w:val="clear" w:color="auto" w:fill="ffffff"/>
        </w:rPr>
        <w:t xml:space="preserve">е, за исключением объектов ОАО «РЖД», многоквартирного дома №2 по улице Осипенко и четырех домов индивидуального жилищного сектора по улице Дарвина и улице Пугачева в Северо-Западном районе города. С Южной стороны зона действия ограничена железной дорогой.</w:t>
      </w:r>
      <w:r>
        <w:rPr>
          <w:rFonts w:eastAsiaTheme="minorEastAsia"/>
          <w:spacing w:val="1"/>
          <w:shd w:val="clear" w:color="auto" w:fill="ffffff"/>
        </w:rPr>
      </w:r>
      <w:r>
        <w:rPr>
          <w:rFonts w:eastAsiaTheme="minorEastAsia"/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rFonts w:eastAsiaTheme="minorEastAsia"/>
          <w:spacing w:val="1"/>
          <w:shd w:val="clear" w:color="auto" w:fill="ffffff"/>
        </w:rPr>
      </w:pPr>
      <w:r>
        <w:rPr>
          <w:rFonts w:eastAsiaTheme="minorEastAsia"/>
          <w:spacing w:val="1"/>
          <w:shd w:val="clear" w:color="auto" w:fill="ffffff"/>
        </w:rPr>
        <w:t xml:space="preserve">3. Котельная №3 (Мелькомбинат) осуществляет теплоснабжение южной части города в районе улиц Пушкина, Ленина, Воинов интернационалистов, Комсомольской, Свердлова.</w:t>
      </w:r>
      <w:r>
        <w:rPr>
          <w:rFonts w:eastAsiaTheme="minorEastAsia"/>
          <w:spacing w:val="1"/>
          <w:shd w:val="clear" w:color="auto" w:fill="ffffff"/>
        </w:rPr>
      </w:r>
      <w:r>
        <w:rPr>
          <w:rFonts w:eastAsiaTheme="minorEastAsia"/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rFonts w:eastAsiaTheme="minorEastAsia"/>
          <w:spacing w:val="1"/>
          <w:shd w:val="clear" w:color="auto" w:fill="ffffff"/>
        </w:rPr>
      </w:pPr>
      <w:r>
        <w:rPr>
          <w:rFonts w:eastAsiaTheme="minorEastAsia"/>
          <w:spacing w:val="1"/>
          <w:shd w:val="clear" w:color="auto" w:fill="ffffff"/>
        </w:rPr>
        <w:t xml:space="preserve">4. Котельная №4 (Экспедиция № 5) осуществляет теплоснабжение южной части города в районе улиц Тимирязева, 19-го Партсъезда, Советской.</w:t>
      </w:r>
      <w:r>
        <w:rPr>
          <w:rFonts w:eastAsiaTheme="minorEastAsia"/>
          <w:spacing w:val="1"/>
          <w:shd w:val="clear" w:color="auto" w:fill="ffffff"/>
        </w:rPr>
      </w:r>
      <w:r>
        <w:rPr>
          <w:rFonts w:eastAsiaTheme="minorEastAsia"/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rFonts w:eastAsiaTheme="minorEastAsia"/>
          <w:spacing w:val="1"/>
          <w:shd w:val="clear" w:color="auto" w:fill="ffffff"/>
        </w:rPr>
      </w:pPr>
      <w:r>
        <w:rPr>
          <w:rFonts w:eastAsiaTheme="minorEastAsia"/>
          <w:spacing w:val="1"/>
          <w:shd w:val="clear" w:color="auto" w:fill="ffffff"/>
        </w:rPr>
        <w:t xml:space="preserve">5. Котельная №5 (Совхоз) снабжает теплом часть жилищного фонда в Северном районе города по улицам Капустина, Северной и Ключевой.</w:t>
      </w:r>
      <w:r>
        <w:rPr>
          <w:rFonts w:eastAsiaTheme="minorEastAsia"/>
          <w:spacing w:val="1"/>
          <w:shd w:val="clear" w:color="auto" w:fill="ffffff"/>
        </w:rPr>
      </w:r>
      <w:r>
        <w:rPr>
          <w:rFonts w:eastAsiaTheme="minorEastAsia"/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rFonts w:eastAsiaTheme="minorEastAsia"/>
          <w:spacing w:val="1"/>
          <w:shd w:val="clear" w:color="auto" w:fill="ffffff"/>
        </w:rPr>
      </w:pPr>
      <w:r>
        <w:rPr>
          <w:rFonts w:eastAsiaTheme="minorEastAsia"/>
          <w:spacing w:val="1"/>
          <w:shd w:val="clear" w:color="auto" w:fill="ffffff"/>
        </w:rPr>
        <w:t xml:space="preserve">6. Электрокотельная ДТВ ОАО «РЖД» осуществляет теплоснабжение объектов ОАО «РЖД», многоквартирный дома №2 по улице Осипенко и  четыре дома индивидуального жилищного сектора по улице Дарвина и улице Пугачева в Северо-Западном районе города.</w:t>
      </w:r>
      <w:r>
        <w:rPr>
          <w:rFonts w:eastAsiaTheme="minorEastAsia"/>
          <w:spacing w:val="1"/>
          <w:shd w:val="clear" w:color="auto" w:fill="ffffff"/>
        </w:rPr>
      </w:r>
      <w:r>
        <w:rPr>
          <w:rFonts w:eastAsiaTheme="minorEastAsia"/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rFonts w:eastAsiaTheme="minorEastAsia"/>
          <w:spacing w:val="1"/>
          <w:shd w:val="clear" w:color="auto" w:fill="ffffff"/>
        </w:rPr>
      </w:pPr>
      <w:r>
        <w:rPr>
          <w:rFonts w:eastAsiaTheme="minorEastAsia"/>
          <w:spacing w:val="1"/>
          <w:shd w:val="clear" w:color="auto" w:fill="ffffff"/>
        </w:rPr>
        <w:t xml:space="preserve">7. Электрокотельная ПС-500 осуществляет теплоснабжение объектов по улице Энергетиков.</w:t>
      </w:r>
      <w:r>
        <w:rPr>
          <w:rFonts w:eastAsiaTheme="minorEastAsia"/>
          <w:spacing w:val="1"/>
          <w:shd w:val="clear" w:color="auto" w:fill="ffffff"/>
        </w:rPr>
      </w:r>
      <w:r>
        <w:rPr>
          <w:rFonts w:eastAsiaTheme="minorEastAsia"/>
          <w:spacing w:val="1"/>
          <w:shd w:val="clear" w:color="auto" w:fill="ffffff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Зоны действия </w:t>
      </w:r>
      <w:r>
        <w:rPr>
          <w:rFonts w:eastAsiaTheme="majorEastAsia"/>
          <w:bCs/>
          <w:shd w:val="clear" w:color="auto" w:fill="ffffff"/>
        </w:rPr>
        <w:t xml:space="preserve">источников тепловой энергии</w:t>
      </w:r>
      <w:r>
        <w:rPr>
          <w:rFonts w:eastAsiaTheme="minorHAnsi"/>
          <w:lang w:eastAsia="en-US"/>
        </w:rPr>
        <w:t xml:space="preserve"> Тайшетского городского поселения представлены в Таблице 17.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Таблица 17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Зоны действия </w:t>
      </w:r>
      <w:r>
        <w:rPr>
          <w:rFonts w:eastAsiaTheme="majorEastAsia"/>
          <w:bCs/>
          <w:shd w:val="clear" w:color="auto" w:fill="ffffff"/>
        </w:rPr>
        <w:t xml:space="preserve">источников тепловой энергии</w:t>
      </w:r>
      <w:r>
        <w:rPr>
          <w:rFonts w:eastAsiaTheme="minorHAnsi"/>
          <w:lang w:eastAsia="en-US"/>
        </w:rPr>
        <w:t xml:space="preserve"> Тайшетского городского поселения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tbl>
      <w:tblPr>
        <w:tblW w:w="4815" w:type="pct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843"/>
        <w:gridCol w:w="2833"/>
        <w:gridCol w:w="115"/>
        <w:gridCol w:w="141"/>
        <w:gridCol w:w="141"/>
        <w:gridCol w:w="151"/>
        <w:gridCol w:w="154"/>
        <w:gridCol w:w="302"/>
        <w:gridCol w:w="135"/>
        <w:gridCol w:w="135"/>
        <w:gridCol w:w="135"/>
        <w:gridCol w:w="135"/>
        <w:gridCol w:w="2007"/>
        <w:gridCol w:w="5"/>
        <w:gridCol w:w="134"/>
        <w:gridCol w:w="135"/>
        <w:gridCol w:w="137"/>
        <w:gridCol w:w="412"/>
        <w:gridCol w:w="1165"/>
      </w:tblGrid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№ п/п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Наименование потребителя тепловой энергии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Адрес места нахождения потребителя тепловой энергии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Отапливаемая площадь потребителя тепловой энергии, м</w:t>
            </w:r>
            <w:r>
              <w:rPr>
                <w:bCs/>
                <w:sz w:val="22"/>
                <w:szCs w:val="22"/>
                <w:vertAlign w:val="superscript"/>
              </w:rPr>
              <w:t xml:space="preserve">2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№1 (ТКСИ)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Многоквартирные дома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Автозаводская,1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3150,4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Мясникова,2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4317,0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Мясникова,4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11811,39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Мясникова,6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4270,4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Мясникова,8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3668,5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Мясникова,9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3146,41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Мясникова,10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3652,8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Новый,2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3187,1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Новый,3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2571,9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Новый,4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2645,9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Новый,5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11511,8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Новый,6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5007,95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Новый,7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4217,6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Новый,8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4639,6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1.1.15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Новый,9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4627,4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Новый,10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8470,86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Новый,11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11303,9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Новый,12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4010,8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1.1.19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Новый,13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5225,12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1.1.20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Новый,19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3025,9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1.1.21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Новый,19/1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2000,9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Новый,19/2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2129,5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1.1.23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Новый,19/3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3218,9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Пахотищева,1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4590,1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1.1.25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Пахотищева,1а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3611,2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Пахотищева,2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3574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1.1.27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Пахотищева,4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3347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Пахотищева,6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3155,3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Пахотищева,6а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3817,5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1.1.30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Пахотищева,8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2647,36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Пахотищева,10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4507,6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1.1.32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Пахотищева,10а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3387,0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Пахотищева,12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2739,0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1.1.34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Пахотищева,14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4539,9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микрорайон Пахотищева,16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2221,0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Пахотищева,18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2154,0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1.1.37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Пахотищева,20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2229,2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Пахотищева,22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Пахотищева,24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3046,0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1.1.40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Пахотищева,26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2602,3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Пахотищева,28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1127,2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Пахотищева,30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1293,4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многоквартирным домам: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195401,69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Индивидуальные жилые дома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1.2.1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294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Индивидуальный жилой дом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0"/>
            <w:shd w:val="clear" w:color="auto" w:fill="auto"/>
            <w:tcW w:w="34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Архитекторов,16-2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69,1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ffffff" w:themeFill="background1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trike/>
                <w:sz w:val="22"/>
                <w:szCs w:val="22"/>
              </w:rPr>
            </w:pPr>
            <w:r>
              <w:rPr>
                <w:strike/>
                <w:sz w:val="22"/>
                <w:szCs w:val="22"/>
              </w:rPr>
              <w:t xml:space="preserve">1.2.2</w:t>
            </w:r>
            <w:r>
              <w:rPr>
                <w:strike/>
                <w:sz w:val="22"/>
                <w:szCs w:val="22"/>
              </w:rPr>
            </w:r>
            <w:r>
              <w:rPr>
                <w:strike/>
                <w:sz w:val="22"/>
                <w:szCs w:val="22"/>
              </w:rPr>
            </w:r>
          </w:p>
        </w:tc>
        <w:tc>
          <w:tcPr>
            <w:gridSpan w:val="2"/>
            <w:shd w:val="clear" w:color="auto" w:fill="ffffff" w:themeFill="background1"/>
            <w:tcW w:w="2948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trike/>
                <w:sz w:val="22"/>
                <w:szCs w:val="22"/>
                <w:lang w:eastAsia="en-US"/>
              </w:rPr>
            </w:pPr>
            <w:r>
              <w:rPr>
                <w:bCs/>
                <w:strike/>
                <w:sz w:val="22"/>
                <w:szCs w:val="22"/>
              </w:rPr>
              <w:t xml:space="preserve">Индивидуальный жилой дом</w:t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ffffff" w:themeFill="background1"/>
            <w:tcW w:w="3436" w:type="dxa"/>
            <w:vAlign w:val="center"/>
            <w:textDirection w:val="lrTb"/>
            <w:noWrap w:val="false"/>
          </w:tcPr>
          <w:p>
            <w:pPr>
              <w:rPr>
                <w:strike/>
                <w:sz w:val="22"/>
                <w:szCs w:val="22"/>
              </w:rPr>
            </w:pPr>
            <w:r>
              <w:rPr>
                <w:strike/>
                <w:sz w:val="22"/>
                <w:szCs w:val="22"/>
              </w:rPr>
              <w:t xml:space="preserve"> Индустриальная,1</w:t>
            </w:r>
            <w:r>
              <w:rPr>
                <w:strike/>
                <w:sz w:val="22"/>
                <w:szCs w:val="22"/>
              </w:rPr>
            </w:r>
            <w:r>
              <w:rPr>
                <w:strike/>
                <w:sz w:val="22"/>
                <w:szCs w:val="22"/>
              </w:rPr>
            </w:r>
          </w:p>
        </w:tc>
        <w:tc>
          <w:tcPr>
            <w:gridSpan w:val="6"/>
            <w:shd w:val="clear" w:color="auto" w:fill="ffffff" w:themeFill="background1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trike/>
                <w:sz w:val="22"/>
                <w:szCs w:val="22"/>
              </w:rPr>
            </w:pPr>
            <w:r>
              <w:rPr>
                <w:strike/>
                <w:sz w:val="22"/>
                <w:szCs w:val="22"/>
              </w:rPr>
              <w:t xml:space="preserve">194,8</w:t>
            </w:r>
            <w:r>
              <w:rPr>
                <w:strike/>
                <w:sz w:val="22"/>
                <w:szCs w:val="22"/>
              </w:rPr>
            </w:r>
            <w:r>
              <w:rPr>
                <w:strike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1.2.3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2948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Индивидуальный жилой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4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Луговая,1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114,9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1.2.4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2948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Индивидуальный жилой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4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Луговая,2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1.2.5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2948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Индивидуальный жилой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4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Молодежная,6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143,7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1.2.6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2948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Индивидуальный жилой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ffffff" w:themeFill="background1"/>
            <w:tcW w:w="34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Молодежная,8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ffffff" w:themeFill="background1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87,2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1.2.7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2948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Индивидуальный жилой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4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Российская, 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155,7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1.2.8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2948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Индивидуальный жилой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4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Российская, 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138,7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1.2.9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2948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Индивидуальный жилой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4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Российская, 49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179,5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1.2.10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2948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Индивидуальный жилой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4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Российская, 50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223,5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1.2.11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2948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Индивидуальный жилой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4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Российская, 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178,3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1.2.12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2948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Индивидуальный жилой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4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Российская, 52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394,8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1.2.13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2948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Индивидуальный жилой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4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Российская, 55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119,4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1.2.14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2948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Индивидуальный жилой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4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Российская, 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173,5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1.2.15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2948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Индивидуальный жилой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4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Юбилейная,19-1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70,4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1.2.16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294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Индивидуальный жилой дом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0"/>
            <w:shd w:val="clear" w:color="auto" w:fill="auto"/>
            <w:tcW w:w="34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Луговая,4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79,7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1.2.17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294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Индивидуальный жилой дом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0"/>
            <w:shd w:val="clear" w:color="auto" w:fill="auto"/>
            <w:tcW w:w="34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Молодежная,7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70,6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индивидуальным жилым домам: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2293,8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Жилые дома блокированной застройки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1.3.1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ind w:left="-108" w:right="-108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5"/>
            <w:shd w:val="clear" w:color="auto" w:fill="auto"/>
            <w:tcW w:w="254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Архитекторов,15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69,1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1.3.2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254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Архитекторов,17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139,6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1.3.3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254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Архитекторов,18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139,6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1.3.4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254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Архитекторов,19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137,5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1.3.5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254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Архитекторов,22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68,4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1.3.6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254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Полевая, 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71,4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1.3.7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254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Полевая, 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147,7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1.3.8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254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Юбилейная,11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1.3.9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254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Юбилейная,12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110,8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1.3.10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254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Юбилейная,14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184,4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1.3.11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254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Юбилейная,16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142,1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1.3.12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254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Юбилейная,18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182,2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trike/>
                <w:sz w:val="22"/>
                <w:szCs w:val="22"/>
                <w:lang w:eastAsia="en-US"/>
              </w:rPr>
            </w:pPr>
            <w:r>
              <w:rPr>
                <w:rFonts w:eastAsia="Calibri"/>
                <w:strike/>
                <w:sz w:val="22"/>
                <w:szCs w:val="22"/>
                <w:lang w:eastAsia="en-US"/>
              </w:rPr>
              <w:t xml:space="preserve">1.3.13</w:t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trike/>
                <w:sz w:val="22"/>
                <w:szCs w:val="22"/>
                <w:lang w:eastAsia="en-US"/>
              </w:rPr>
            </w:pPr>
            <w:r>
              <w:rPr>
                <w:bCs/>
                <w:strike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trike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trike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2549" w:type="dxa"/>
            <w:vAlign w:val="center"/>
            <w:textDirection w:val="lrTb"/>
            <w:noWrap w:val="false"/>
          </w:tcPr>
          <w:p>
            <w:pPr>
              <w:rPr>
                <w:strike/>
                <w:sz w:val="22"/>
                <w:szCs w:val="22"/>
              </w:rPr>
            </w:pPr>
            <w:r>
              <w:rPr>
                <w:strike/>
                <w:sz w:val="22"/>
                <w:szCs w:val="22"/>
              </w:rPr>
              <w:t xml:space="preserve"> Юбилейная,20</w:t>
            </w:r>
            <w:r>
              <w:rPr>
                <w:strike/>
                <w:sz w:val="22"/>
                <w:szCs w:val="22"/>
              </w:rPr>
            </w:r>
            <w:r>
              <w:rPr>
                <w:strike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trike/>
                <w:sz w:val="22"/>
                <w:szCs w:val="22"/>
              </w:rPr>
            </w:pPr>
            <w:r>
              <w:rPr>
                <w:strike/>
                <w:sz w:val="22"/>
                <w:szCs w:val="22"/>
              </w:rPr>
              <w:t xml:space="preserve">43,7</w:t>
            </w:r>
            <w:r>
              <w:rPr>
                <w:strike/>
                <w:sz w:val="22"/>
                <w:szCs w:val="22"/>
              </w:rPr>
            </w:r>
            <w:r>
              <w:rPr>
                <w:strike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1.3.14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254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Юбилейная,21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trike/>
                <w:sz w:val="22"/>
                <w:szCs w:val="22"/>
                <w:lang w:eastAsia="en-US"/>
              </w:rPr>
            </w:pPr>
            <w:r>
              <w:rPr>
                <w:rFonts w:eastAsia="Calibri"/>
                <w:strike/>
                <w:sz w:val="22"/>
                <w:szCs w:val="22"/>
                <w:lang w:eastAsia="en-US"/>
              </w:rPr>
              <w:t xml:space="preserve">1.3.15</w:t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trike/>
                <w:sz w:val="22"/>
                <w:szCs w:val="22"/>
                <w:lang w:eastAsia="en-US"/>
              </w:rPr>
            </w:pPr>
            <w:r>
              <w:rPr>
                <w:bCs/>
                <w:strike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trike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trike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2549" w:type="dxa"/>
            <w:vAlign w:val="center"/>
            <w:textDirection w:val="lrTb"/>
            <w:noWrap w:val="false"/>
          </w:tcPr>
          <w:p>
            <w:pPr>
              <w:rPr>
                <w:strike/>
                <w:sz w:val="22"/>
                <w:szCs w:val="22"/>
              </w:rPr>
            </w:pPr>
            <w:r>
              <w:rPr>
                <w:strike/>
                <w:sz w:val="22"/>
                <w:szCs w:val="22"/>
              </w:rPr>
              <w:t xml:space="preserve"> Индустриальная,2</w:t>
            </w:r>
            <w:r>
              <w:rPr>
                <w:strike/>
                <w:sz w:val="22"/>
                <w:szCs w:val="22"/>
              </w:rPr>
            </w:r>
            <w:r>
              <w:rPr>
                <w:strike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trike/>
                <w:sz w:val="22"/>
                <w:szCs w:val="22"/>
              </w:rPr>
            </w:pPr>
            <w:r>
              <w:rPr>
                <w:strike/>
                <w:sz w:val="22"/>
                <w:szCs w:val="22"/>
              </w:rPr>
              <w:t xml:space="preserve">246,1</w:t>
            </w:r>
            <w:r>
              <w:rPr>
                <w:strike/>
                <w:sz w:val="22"/>
                <w:szCs w:val="22"/>
              </w:rPr>
            </w:r>
            <w:r>
              <w:rPr>
                <w:strike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1.3.16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254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Индустриальная,6-1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138,9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1.3.17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254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Индустриальная,8-1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70,8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1.3.18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254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Полевая, 9-1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1.3.19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254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Полевая, 15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69,3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1.3.20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254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Полевая, 19-1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47,6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жилым домам блокированной застройки: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2088,1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Общественные здания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1.4.1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353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Тайшетская РБ ОГБУЗ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9"/>
            <w:shd w:val="clear" w:color="auto" w:fill="auto"/>
            <w:tcW w:w="312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микрорайон Новый, 10 стр. А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W w:w="171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1148,8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1.4.2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353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Межрайонная ИФНС РОССИИ № 6 по Иркутской области, СУ СК России по Иркутской области и другие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9"/>
            <w:shd w:val="clear" w:color="auto" w:fill="auto"/>
            <w:tcW w:w="312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Автозаводская, 3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W w:w="171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5171,10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1.4.3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353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МКДОУ Детский сад "Сказка" 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9"/>
            <w:shd w:val="clear" w:color="auto" w:fill="auto"/>
            <w:tcW w:w="312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микрорайон Новый, 7а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W w:w="171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3073,6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1.4.4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353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Комплекс зданий МКОУ СОШ №5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9"/>
            <w:shd w:val="clear" w:color="auto" w:fill="auto"/>
            <w:tcW w:w="312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микрорайон Новый, 20А 4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W w:w="171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7401,7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1.4.5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353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МКДОУ «Белочка»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9"/>
            <w:shd w:val="clear" w:color="auto" w:fill="auto"/>
            <w:tcW w:w="3124" w:type="dxa"/>
            <w:vAlign w:val="center"/>
            <w:textDirection w:val="lrTb"/>
            <w:noWrap w:val="false"/>
          </w:tcPr>
          <w:p>
            <w:pPr>
              <w:ind w:left="-109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микрорайон им Мясникова, 4А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W w:w="171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3422,7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1.4.6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353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МБУК «МРДК «Юбилейный» 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9"/>
            <w:shd w:val="clear" w:color="auto" w:fill="auto"/>
            <w:tcW w:w="312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Мира,  4а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W w:w="171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1275,5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1.4.7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353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МКДОУ детский сад  "Рябинка"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9"/>
            <w:shd w:val="clear" w:color="auto" w:fill="auto"/>
            <w:tcW w:w="312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Полевая,  7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W w:w="171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878,5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1.4.8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353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МКДОУ детский сад  "Рябинка"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9"/>
            <w:shd w:val="clear" w:color="auto" w:fill="auto"/>
            <w:tcW w:w="3124" w:type="dxa"/>
            <w:vAlign w:val="center"/>
            <w:textDirection w:val="lrTb"/>
            <w:noWrap w:val="false"/>
          </w:tcPr>
          <w:p>
            <w:pPr>
              <w:ind w:left="-109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микрорайон  им Пахотищева, 5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W w:w="171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2008,3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1.4.9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353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Психоневрологическое отделение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ОГБУЗ Тайшетской РБ 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9"/>
            <w:shd w:val="clear" w:color="auto" w:fill="auto"/>
            <w:tcW w:w="312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 Юбилейная, 2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W w:w="171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263,8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1.4.10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353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МКУ «Культурно-спортивный центр «Сибирь»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9"/>
            <w:shd w:val="clear" w:color="auto" w:fill="auto"/>
            <w:tcW w:w="312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микрорайон Новый,  20/1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W w:w="171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1284,35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1.4.11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353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ФГКУ "7 отряд федеральной противопожарной службы по Иркутской области"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9"/>
            <w:shd w:val="clear" w:color="auto" w:fill="auto"/>
            <w:tcW w:w="3124" w:type="dxa"/>
            <w:vAlign w:val="center"/>
            <w:textDirection w:val="lrTb"/>
            <w:noWrap w:val="false"/>
          </w:tcPr>
          <w:p>
            <w:pPr>
              <w:ind w:left="-109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микрорайон им. Пахотищева, 3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W w:w="171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2213,9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gridSpan w:val="16"/>
            <w:shd w:val="clear" w:color="auto" w:fill="auto"/>
            <w:tcW w:w="7502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общественным зданиям: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1714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28142,25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6"/>
            <w:shd w:val="clear" w:color="auto" w:fill="auto"/>
            <w:tcW w:w="7502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муниципальной котельной: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1714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227926,09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2 (ШПЗ)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Многоквартирные дома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Бурлова,3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4631,5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Бурлова,10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2532,7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5433,1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Гагарина,96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4074,9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Гагарина,100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1069,8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Гагарина,102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581,2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Гагарина,106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2845,4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Гагарина,110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871,0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Гагарина,113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399,0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Гагарина,116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849,7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Гагарина,117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425,2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Гагарина,121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485,6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Гагарина,123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685,2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Гагарина,123а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1126,23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Гагарина,125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649,7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Гагарина,125а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4075,0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Горького,1/1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Горького,5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4704,1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З. Космодемьянской,1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2645,2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2.1.20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З. Космодемьянской,3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3403,8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2.1.21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З. Космодемьянской,5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4493,3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З. Космодемьянской,9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525,2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2.1.23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З. Космодемьянской,10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506,8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Крупской,92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812,0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2.1.25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Крупская,93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Крупская,94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636,2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2.1.27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Крупская,96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609,1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Крупская,98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635,0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Крупская,100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646,0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2.1.30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Крупская,102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641,7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Крупская,104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919,4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2.1.32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Крупская,106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1259,5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Крупская,108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1180,8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2.1.34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 Марта,3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1808,4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 Марта,5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968,7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 Марта,8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2617,0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2.1.37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 Марта,10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5475,0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Партизанская,128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1186,3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Северовокзальная,34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794,8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2.1.40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Северовокзальная,35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768,2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Северовокзальная,37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487,6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Суворова,3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223,8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Суворова,8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415,1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2.1.44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Суворова,9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1176,6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Суворова,11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1150,5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2.1.46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Свободы,2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2793,3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2.1.47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Свободы,4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3749,0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Свободы,6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3446,1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2.1.49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Свободы,8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2796,9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2.1.50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 xml:space="preserve">Старобазарная,1</w:t>
            </w:r>
            <w:r>
              <w:rPr>
                <w:iCs/>
                <w:sz w:val="22"/>
                <w:szCs w:val="22"/>
              </w:rPr>
            </w:r>
            <w:r>
              <w:rPr>
                <w:i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2850,8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 xml:space="preserve">Старобазарная,4</w:t>
            </w:r>
            <w:r>
              <w:rPr>
                <w:iCs/>
                <w:sz w:val="22"/>
                <w:szCs w:val="22"/>
              </w:rPr>
            </w:r>
            <w:r>
              <w:rPr>
                <w:i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2466,5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2.1.52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Терешковой,1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4380,5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Терешковой,2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3319,3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Терешковой,3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4266,1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2.1.55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Терешковой,4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2831,1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Терешковой,5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4276,1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2.1.57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Терешковой,6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483,7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Терешковой,7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3287,4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2.1.59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Терешковой,7а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1821,2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2.1.60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Терешковой,9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5305,2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2.1.61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 xml:space="preserve">Транспортная,16</w:t>
            </w:r>
            <w:r>
              <w:rPr>
                <w:iCs/>
                <w:sz w:val="22"/>
                <w:szCs w:val="22"/>
              </w:rPr>
            </w:r>
            <w:r>
              <w:rPr>
                <w:i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1250,6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2.1.62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 xml:space="preserve">Транспортная,17</w:t>
            </w:r>
            <w:r>
              <w:rPr>
                <w:iCs/>
                <w:sz w:val="22"/>
                <w:szCs w:val="22"/>
              </w:rPr>
            </w:r>
            <w:r>
              <w:rPr>
                <w:i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1211,5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2.1.63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Транспортная,21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2516,4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2.1.64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Транспортная,27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5714,2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2.1.65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Транспортная,29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4571,0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2.1.66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Транспортная,31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4608,3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2.1.67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Транспортная,33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4109,6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2.1.68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Транспортная,35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3896,3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Транспортная,37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3129,4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2.1.70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Транспортная,39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2280,7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2.1.71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Транспортная,41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2276,9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2.1.72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Транспортная,43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3128,4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2.1.73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Транспортная,52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843,7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2.1.74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Транспортная,52а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487,2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2.1.75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Транспортная,54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2802,6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2.1.76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Транспортная,58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664,9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2.1.77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Транспортная,89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550,0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Транспортная,91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500,8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2.1.79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Транспортная,97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2494,6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2.1.80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Транспортная,113а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4348,1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2.1.81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Транспортная,115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4344,2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2.1.82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Чернышевского,2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2581,7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2.1.83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Чернышевского,4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1382,7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2.1.84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Чернышевского,6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1412,0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2.1.85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Чернышевского,8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3570,3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Чернышевского,10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2235,9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2.1.87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Шевченко,2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3093,3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Шевченко,3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1075,6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2.1.89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Шевченко,4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557,8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2.1.90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Шевченко,5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1688,1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Шевченко,8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432,4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2.1.92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 Марта,2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476,0</w:t>
            </w:r>
            <w:r>
              <w:rPr>
                <w:sz w:val="22"/>
                <w:szCs w:val="22"/>
                <w:lang w:val="en-US"/>
              </w:rPr>
            </w:r>
            <w:r>
              <w:rPr>
                <w:sz w:val="22"/>
                <w:szCs w:val="22"/>
                <w:lang w:val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Бурлова,1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270,9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2.1.94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Бурлова,6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2646,5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2.1.95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 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1871,0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2.1.96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 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1281,9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2.1.97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 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951,0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2.1.98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 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719,9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2.1.99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 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482,8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 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2.1.101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 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130,9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Гагарина, 92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125,8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2.1.103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Андреева, 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4287,2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Андреева, 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3000,5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Андреева, 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440,6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Локомотивная, 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3300,6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2.1.107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Локомотивная, 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619,3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2.1.108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Локомотивная, 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3355,0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Локомотивная, 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621,3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Локомотивная, 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4545,5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Локомотивная, 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635,0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Локомотивная, 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3293,3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Локомотивная, 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3358,1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Локомотивная, 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3388,1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2.1.115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Рабочая, 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1335,8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Рабочая, 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1393,9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Транспортная, 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2747,5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Северовокзальная,1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309,2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2.1.119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Северовокзальная,23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340,6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ind w:lef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2.1.120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Проездная, 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4363,5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многоквартирным домам: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244450,1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Общественные здания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2.2.1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ind w:left="-109" w:right="-108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ОГБУЗ Тайшетская РБ (госпиталь)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Шевченко,  10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4544,0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2.2.2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ОГБУЗ Тайшетская РБ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Шевченко,  10 А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8388,8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ОГБУЗ Тайшетская РБ (женская консультация)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Суворова, 10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798,6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2.2.3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ГБПОУ Иркутской области  Т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айшетский промышленно-технологический техникум (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комплекс зданий)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Крупской,  123 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5712,3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2.2.4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Тайшетский городской суд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Суворова,  13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1406,3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2.2.5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ОГБПОУ Тайшетский медицинский техникум 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Горького,  7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827,1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2.2.6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МКОУ СОШ №85 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Шевченко,  1.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5673,7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2.2.7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ДК «Железнодорожник»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Крупской, 91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1740,0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2.2.8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МКДОУ детский сад  "Рябинка"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Зои Космодемьянской, 11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957,6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2.2.9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ind w:left="-109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Отделение Сибирского ГУ ЦБ РФ 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Гагарина,  94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1233,1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2.3.10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ФГП ВО ЖДТ России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Бурлова,  1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1104,1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2.2.11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РЖД ОАО 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Горького,  3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371,0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2.2.12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РЖД ОАО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Суворова,  1н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452,3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2.2.13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РЖД ОАО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Суворова,  1Б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1244,6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2.2.14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РЖД ОАО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Северовокзальная,  45/1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1139,0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2.2.15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РЖД ОАО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Крупской,  119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1740,0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2.2.16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РЖД ОАО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Транспортная,  31а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602,0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2.2.17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РЖД ОАО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Старобазарная,  1б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743,0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2.2.18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РЖД ОАО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Старобазарная,  3б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3566,6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2.2.19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РЖД ОАО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Суворова,  1Б/1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1565,8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2.2.20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РЖД ОАО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Андреева,  10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837,2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2.2.21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РЖД ОАО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Андреева,  6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812,0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2.2.22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РЖД ОАО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переулок Производственный, д.1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1104,0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2.2.23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РЖД ОАО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Старобазарная,  3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1573,4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2.2.24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Межрайонная Тайшетская прокуратура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Бурлова, 8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136,7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2.2.25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УФСБ России по Иркутской области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Гаражный массив Госбанк, гараж 136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212,0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2.2.26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УПФР в Тайшетском районе Иркутской области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Гагарина,  119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501,5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2.2.27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Детский сад  №206 ОАО "РЖД"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Транспортная,  25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2020,6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2.2.28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ЧУЗ «РЖД-МЕДИЦИНА»  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Шевченко, 10-1Н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1721,7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2.2.29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ЧУЗ «РЖД-МЕДИЦИНА»  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Шевченко, 10-5Н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484,2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2.2.30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ОГКУ ЦЗН Тайшетского района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Северовокзальная,  26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475,4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2.2.31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МКОУ СОШ № 14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Транспортная,  20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2307,4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2.2.32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ОГКУ «Центр обеспечения судебных участков мировых судей»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Андреева,  3А-1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176,3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2.2.33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ГАУ "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Иркутский областной многофункциональный центр предоставления государственных и муниципальных услуг" - филиал в городе Тайшете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Гагарина,  115А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238,6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2.2.34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МБУ «Городское хозяйство»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Транспортная,  18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381,4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833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2.2.35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widowControl w:val="off"/>
              <w:rPr>
                <w:rFonts w:eastAsia="Calibri"/>
                <w:bCs/>
                <w:sz w:val="28"/>
                <w:szCs w:val="28"/>
                <w:lang w:eastAsia="en-US"/>
              </w:rPr>
              <w:outlineLvl w:val="0"/>
            </w:pPr>
            <w:r/>
            <w:bookmarkStart w:id="63" w:name="_Toc149055503"/>
            <w:r/>
            <w:bookmarkStart w:id="64" w:name="_Toc149055594"/>
            <w:r>
              <w:rPr>
                <w:bCs/>
                <w:sz w:val="22"/>
                <w:szCs w:val="22"/>
                <w:lang w:eastAsia="en-US"/>
              </w:rPr>
              <w:t xml:space="preserve">ООО «</w:t>
            </w:r>
            <w:hyperlink r:id="rId14" w:tooltip="https://2gis.ru/firm/70000001046452738" w:history="1">
              <w:r>
                <w:rPr>
                  <w:bCs/>
                  <w:sz w:val="22"/>
                  <w:szCs w:val="22"/>
                  <w:lang w:eastAsia="en-US"/>
                </w:rPr>
                <w:t xml:space="preserve">Регион Телеком»</w:t>
              </w:r>
              <w:r>
                <w:rPr>
                  <w:bCs/>
                  <w:sz w:val="22"/>
                  <w:szCs w:val="22"/>
                  <w:lang w:val="en-US" w:eastAsia="en-US"/>
                </w:rPr>
                <w:t xml:space="preserve"> </w:t>
              </w:r>
            </w:hyperlink>
            <w:r>
              <w:rPr>
                <w:bCs/>
                <w:sz w:val="22"/>
                <w:szCs w:val="22"/>
                <w:lang w:eastAsia="en-US"/>
              </w:rPr>
              <w:t xml:space="preserve">, Тайшетский филиал №2 Иркутской областной коллегии адвокатов</w:t>
            </w:r>
            <w:bookmarkEnd w:id="63"/>
            <w:r/>
            <w:bookmarkEnd w:id="64"/>
            <w:r>
              <w:rPr>
                <w:rFonts w:eastAsia="Calibri"/>
                <w:bCs/>
                <w:sz w:val="28"/>
                <w:szCs w:val="28"/>
                <w:lang w:eastAsia="en-US"/>
              </w:rPr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Транспортная, 44а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1037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2.2.36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Военный комиссариат города Тайшета, Тайшетского и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Чунского районов Иркутской области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Горького,  13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439,5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2.2.37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vMerge w:val="restart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ООО «РУСАЛ Тайшетский Алюминиевый Завод»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Транспортная, 105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1215,9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2.2.38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vMerge w:val="continue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textDirection w:val="lrTb"/>
            <w:noWrap w:val="false"/>
          </w:tcPr>
          <w:p>
            <w:r>
              <w:rPr>
                <w:rFonts w:eastAsia="Calibri"/>
                <w:sz w:val="22"/>
                <w:szCs w:val="22"/>
                <w:lang w:eastAsia="en-US"/>
              </w:rPr>
              <w:t xml:space="preserve">Транспортная, 105/1</w:t>
            </w:r>
            <w:r/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946,2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2.2.39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3380" w:type="dxa"/>
            <w:vAlign w:val="center"/>
            <w:vMerge w:val="continue"/>
            <w:textDirection w:val="lrTb"/>
            <w:noWrap w:val="false"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004" w:type="dxa"/>
            <w:textDirection w:val="lrTb"/>
            <w:noWrap w:val="false"/>
          </w:tcPr>
          <w:p>
            <w:r>
              <w:rPr>
                <w:rFonts w:eastAsia="Calibri"/>
                <w:sz w:val="22"/>
                <w:szCs w:val="22"/>
                <w:lang w:eastAsia="en-US"/>
              </w:rPr>
              <w:t xml:space="preserve">Транспортная, 105/2</w:t>
            </w:r>
            <w:r/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953,3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общественным зданиям: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61384,2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муниципальной котельной: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305</w:t>
            </w:r>
            <w:r>
              <w:rPr>
                <w:bCs/>
                <w:sz w:val="22"/>
                <w:szCs w:val="22"/>
              </w:rPr>
              <w:t xml:space="preserve">834,3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3 (Мелькомбинат)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Многоквартирные дома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3.1.1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2"/>
            <w:shd w:val="clear" w:color="auto" w:fill="auto"/>
            <w:tcW w:w="3556" w:type="dxa"/>
            <w:vAlign w:val="center"/>
            <w:textDirection w:val="lrTb"/>
            <w:noWrap/>
          </w:tcPr>
          <w:p>
            <w:pPr>
              <w:ind w:right="-9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Воинов - интернационалистов,185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5"/>
            <w:shd w:val="clear" w:color="auto" w:fill="auto"/>
            <w:tcW w:w="198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1958,21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3.1.2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2"/>
            <w:shd w:val="clear" w:color="auto" w:fill="auto"/>
            <w:tcW w:w="3556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Ленина,258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5"/>
            <w:shd w:val="clear" w:color="auto" w:fill="auto"/>
            <w:tcW w:w="198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4658,5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3.1.3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2"/>
            <w:shd w:val="clear" w:color="auto" w:fill="auto"/>
            <w:tcW w:w="3556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Свердлова 83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5"/>
            <w:shd w:val="clear" w:color="auto" w:fill="auto"/>
            <w:tcW w:w="198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705,0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3.1.4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2"/>
            <w:shd w:val="clear" w:color="auto" w:fill="auto"/>
            <w:tcW w:w="3556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Свердлова 108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5"/>
            <w:shd w:val="clear" w:color="auto" w:fill="auto"/>
            <w:tcW w:w="198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729,6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3.1.5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2"/>
            <w:shd w:val="clear" w:color="auto" w:fill="auto"/>
            <w:tcW w:w="3556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Свердлова 110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5"/>
            <w:shd w:val="clear" w:color="auto" w:fill="auto"/>
            <w:tcW w:w="198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717,4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3.1.6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2"/>
            <w:shd w:val="clear" w:color="auto" w:fill="auto"/>
            <w:tcW w:w="3556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Свердлова 112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5"/>
            <w:shd w:val="clear" w:color="auto" w:fill="auto"/>
            <w:tcW w:w="198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730,0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3.1.7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2"/>
            <w:shd w:val="clear" w:color="auto" w:fill="auto"/>
            <w:tcW w:w="3556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Свердлова 114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5"/>
            <w:shd w:val="clear" w:color="auto" w:fill="auto"/>
            <w:tcW w:w="198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501,8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3.1.8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2"/>
            <w:shd w:val="clear" w:color="auto" w:fill="auto"/>
            <w:tcW w:w="3556" w:type="dxa"/>
            <w:vAlign w:val="center"/>
            <w:textDirection w:val="lrTb"/>
            <w:noWrap/>
          </w:tcPr>
          <w:p>
            <w:pPr>
              <w:ind w:left="-134" w:right="-10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Воинов - интернационалистов, 185А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5"/>
            <w:shd w:val="clear" w:color="auto" w:fill="auto"/>
            <w:tcW w:w="1983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2152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4"/>
            <w:shd w:val="clear" w:color="auto" w:fill="auto"/>
            <w:tcW w:w="7233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многоквартирным домам: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5"/>
            <w:shd w:val="clear" w:color="auto" w:fill="auto"/>
            <w:tcW w:w="198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12152,51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Индивидуальные жилые дома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3.2.1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3089" w:type="dxa"/>
            <w:vAlign w:val="center"/>
            <w:textDirection w:val="lrTb"/>
            <w:noWrap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Индивидуальный жилой дом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3434" w:type="dxa"/>
            <w:vAlign w:val="center"/>
            <w:textDirection w:val="lrTb"/>
            <w:noWrap/>
          </w:tcPr>
          <w:p>
            <w:pPr>
              <w:ind w:left="-1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Воинов интернационалистов,185-б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W w:w="1849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73,4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3.2.2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3089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Индивидуальный жилой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434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Чкалова,122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W w:w="1849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70,0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3.2.3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3089" w:type="dxa"/>
            <w:vAlign w:val="center"/>
            <w:textDirection w:val="lrTb"/>
            <w:noWrap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Индивидуальный жилой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434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Свердлова 116а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W w:w="1849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133,26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5"/>
            <w:shd w:val="clear" w:color="auto" w:fill="auto"/>
            <w:tcW w:w="7366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индивидуальным жилым домам: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W w:w="184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276,66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Жилые дома блокированной застройки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Воинов интернационалистов,186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165,0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Ленина,247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66,52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Ленина,249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168,4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Ленина,257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148,7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Ленина,258-а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128,0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Чкалова,120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152,4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Чкалова,124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146,1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Чкалова,126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166,8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Чкалова,128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149,0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3.3.10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Чкалова,130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149,3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3.3.11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Чкалова,134а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178,3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3.3.12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Чкалова,136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149,4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3.3.13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Свердлова 87а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168,2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3.3.14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Свердлова 89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</w:t>
            </w:r>
            <w:r>
              <w:rPr>
                <w:sz w:val="22"/>
                <w:szCs w:val="22"/>
              </w:rPr>
              <w:t xml:space="preserve">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3.3.15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Ленина 272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146,4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3.3.16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Ленина 274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147,6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3.3.17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Воинов интернационалистов,188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46,85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3.3.18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Воинов интернационалистов 199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3.3.19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Воинов интернационалистов 203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73,2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3.3.20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Воинов интернационалистов 205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3.3.21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Пушкина 63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120,75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3.3.22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Ленина,243-2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3.3.23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Ленина,245-1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3.3.24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Ленина,251-2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3.3.25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Ленина,253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81,1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3.3.26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Ленина,255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3.3.27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Чкалова,129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75,5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3.3.28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Чкалова,134-2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72,0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3.3.29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Свердлова 116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81,1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3.3.30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Свердлова 118а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120,0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3.3.31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Ленина 276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72,1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3.3.32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Комсомольская 243а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141,6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3.3.33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Комсомольская 245а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149,1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3.3.34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Комсомольская 264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108,4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3.3.35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Комсомольская 266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80,6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3.3.36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textDirection w:val="lrTb"/>
            <w:noWrap w:val="false"/>
          </w:tcPr>
          <w:p>
            <w:pP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337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Комсомольская 268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80,6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8"/>
            <w:shd w:val="clear" w:color="auto" w:fill="auto"/>
            <w:tcW w:w="8051" w:type="dxa"/>
            <w:vAlign w:val="bottom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жилым зданиям блокированной застройки: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4195,5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Общественные здания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3.4.1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4242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Иркутский областной кожно-венерологический диспансер, Тайшетское стационарное отделение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2965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Ленина,  258 Б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607,9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3.4.2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4242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МКОУ СОШ №2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2965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Пушкина,  43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5009,4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3.4.3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shd w:val="clear" w:color="auto" w:fill="auto"/>
            <w:tcW w:w="4242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МКДОУ детский сад "РОМАШКА"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2965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Свердлова,  85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299,7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gridSpan w:val="18"/>
            <w:shd w:val="clear" w:color="auto" w:fill="auto"/>
            <w:tcW w:w="8051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Итого по общественным зданиям: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5917,0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8"/>
            <w:shd w:val="clear" w:color="auto" w:fill="auto"/>
            <w:tcW w:w="8051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муниципальной котельной: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1165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22</w:t>
            </w:r>
            <w:r>
              <w:rPr>
                <w:bCs/>
                <w:sz w:val="22"/>
                <w:szCs w:val="22"/>
              </w:rPr>
              <w:t xml:space="preserve">541,69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4 (Экспедиция 5)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Многоквартирные дома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4.1.1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195 квартал,1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495,9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4.1.2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195 квартал,2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4.1.3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195 квартал,3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491,1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4.1.4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195 квартал,4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4.1.5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195 квартал,5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4.1.6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195 квартал,6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517,7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4.1.7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195 квартал,7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495,9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4.1.8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195 квартал,8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467,1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4.1.9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195 квартал,9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493,3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4.1.10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195 квартал,10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488,8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4.1.11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Октябрьская,90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254,3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4.1.12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Советская,40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732,5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4.1.13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Тимирязева,74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873,8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4.1.14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Тимирязева,76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460,8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4.1.15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Тимирязева,78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329,1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4.1.16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Тимирязева,80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500,0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4.1.17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Тимирязева,82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538,6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4.1.18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/>
          </w:tcPr>
          <w:p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Многоквартирный дом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Тимирязева,84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976,0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многоквартирным домам: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9461,7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Индивидуальные жилые дома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индивидуальным жилым домам: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-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Жилые дома блокированной застройки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4.3.1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8"/>
            <w:shd w:val="clear" w:color="auto" w:fill="auto"/>
            <w:tcW w:w="3971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W w:w="282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Новая,159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157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213,1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4.3.2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8"/>
            <w:shd w:val="clear" w:color="auto" w:fill="auto"/>
            <w:tcW w:w="3971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W w:w="282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Новая,163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157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216,4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4.3.3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8"/>
            <w:shd w:val="clear" w:color="auto" w:fill="auto"/>
            <w:tcW w:w="3971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W w:w="282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Новая,164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157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193,1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4.3.4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8"/>
            <w:shd w:val="clear" w:color="auto" w:fill="auto"/>
            <w:tcW w:w="3971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W w:w="282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Тимирязева,90 (1-9 бараки)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157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748,0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4.3.5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8"/>
            <w:shd w:val="clear" w:color="auto" w:fill="auto"/>
            <w:tcW w:w="3971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W w:w="282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Горная,85-2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157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40,1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4.3.6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8"/>
            <w:shd w:val="clear" w:color="auto" w:fill="auto"/>
            <w:tcW w:w="3971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W w:w="282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Новая,161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157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107,6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4.3.7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8"/>
            <w:shd w:val="clear" w:color="auto" w:fill="auto"/>
            <w:tcW w:w="3971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W w:w="282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Новая,162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157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148,2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7"/>
            <w:shd w:val="clear" w:color="auto" w:fill="auto"/>
            <w:tcW w:w="7639" w:type="dxa"/>
            <w:vAlign w:val="bottom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жилым домам блокированной застройки: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157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1666,5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Общественные здания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4.4.1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4378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ОГБУЗ «Тайшетская районная больница» 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shd w:val="clear" w:color="auto" w:fill="auto"/>
            <w:tcW w:w="2418" w:type="dxa"/>
            <w:vAlign w:val="center"/>
            <w:textDirection w:val="lrTb"/>
            <w:noWrap w:val="false"/>
          </w:tcPr>
          <w:p>
            <w:pPr>
              <w:ind w:left="-108" w:right="-10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Тимирязева, 90 (гаражи)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157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683,4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7"/>
            <w:shd w:val="clear" w:color="auto" w:fill="auto"/>
            <w:tcW w:w="763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общественным зданиям: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157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683,4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7"/>
            <w:shd w:val="clear" w:color="auto" w:fill="auto"/>
            <w:tcW w:w="7639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муниципальной котельной: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1577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11811,6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5 (Совхоз)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Многоквартирные дома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5.1.1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Капустина,20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1534,97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5.1.2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Северная,1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126,0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5.1.3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Северная,3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187,6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5.1.4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Ключевая,1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169,0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многоквартирным домам: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  <w:lang w:val="en-US"/>
              </w:rPr>
            </w:pPr>
            <w:r>
              <w:rPr>
                <w:bCs/>
                <w:sz w:val="22"/>
                <w:szCs w:val="22"/>
              </w:rPr>
              <w:t xml:space="preserve">2017,</w:t>
            </w:r>
            <w:r>
              <w:rPr>
                <w:bCs/>
                <w:sz w:val="22"/>
                <w:szCs w:val="22"/>
              </w:rPr>
              <w:t xml:space="preserve">2</w:t>
            </w:r>
            <w:r>
              <w:rPr>
                <w:bCs/>
                <w:sz w:val="22"/>
                <w:szCs w:val="22"/>
                <w:lang w:val="en-US"/>
              </w:rPr>
            </w:r>
            <w:r>
              <w:rPr>
                <w:bCs/>
                <w:sz w:val="22"/>
                <w:szCs w:val="22"/>
                <w:lang w:val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Индивидуальные жилые дома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5.2.1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308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Индивидуальный жилой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329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Ключевая,2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77,8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индивидуальным жилым домам: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77,8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Жилые дома блокированной застройки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5.3.1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shd w:val="clear" w:color="auto" w:fill="auto"/>
            <w:tcW w:w="3836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Жилой дом блокированной застройки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5"/>
            <w:shd w:val="clear" w:color="auto" w:fill="auto"/>
            <w:tcW w:w="254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Северная,10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bottom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жилым домам блокированной застройки: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Общественные здания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5.4.1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Детский сад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Северная, 12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199,5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общественным зданиям: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199,5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муниципальной котельной: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2391,86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Электрокотельная ДТВ ОАО «РЖД»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Многоквартирные дома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6.1.1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Осипенко, 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2820,6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многоквартирным домам: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2820,6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Индивидуальные жилые дома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6.2.1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W w:w="3229" w:type="dxa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Индивидуальный жилой дом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8"/>
            <w:shd w:val="clear" w:color="auto" w:fill="auto"/>
            <w:tcW w:w="315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Дарвина, 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6.2.2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W w:w="3229" w:type="dxa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Индивидуальный жилой дом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8"/>
            <w:shd w:val="clear" w:color="auto" w:fill="auto"/>
            <w:tcW w:w="315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Дарвина, 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6.2.3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W w:w="3229" w:type="dxa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Индивидуальный жилой дом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8"/>
            <w:shd w:val="clear" w:color="auto" w:fill="auto"/>
            <w:tcW w:w="315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Дарвина, 19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94,1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6.2.4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W w:w="3229" w:type="dxa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Индивидуальный жилой дом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8"/>
            <w:shd w:val="clear" w:color="auto" w:fill="auto"/>
            <w:tcW w:w="315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Пугачева, 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93,3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6.2.5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W w:w="3229" w:type="dxa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Индивидуальный жилой дом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8"/>
            <w:shd w:val="clear" w:color="auto" w:fill="auto"/>
            <w:tcW w:w="315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Пугачева, 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134,9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индивидуальным жилым домам: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441,0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Промышленные и производственные здания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6.3.1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4107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Железнодорожный  вокзал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2278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Северовокзальная,10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1423,1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6.3.2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4107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Санузел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2278" w:type="dxa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Северовокзальная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92,5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6.3.3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4107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Административное здание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2278" w:type="dxa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Северовокзальная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789,74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6.3.4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4107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Гараж №1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2278" w:type="dxa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Северовокзальная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4262,7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6.3.5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4107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Гараж №2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2278" w:type="dxa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Северовокзальная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327,0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6.3.6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4107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Гараж №3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2278" w:type="dxa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Северовокзальная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816,0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6.3.7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4107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Гараж ПТК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2278" w:type="dxa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Северовокзальная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748,2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6.3.8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4107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Дом связи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2278" w:type="dxa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Северовокзальная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1344,4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6.3.9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4107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Контора НГЧ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2278" w:type="dxa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Северовокзальная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396,6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6.3.10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4107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НОД-1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2278" w:type="dxa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Северовокзальная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4258,0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6.3.11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4107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Здание санитарно-бытового корпуса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2278" w:type="dxa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Северовокзальная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425,0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6.3.12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4107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СБК НГЧ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2278" w:type="dxa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Северовокзальная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411,0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6.3.13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4107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Склад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2278" w:type="dxa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Северовокзальная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131,0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6.3.14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4107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Здание столярного цеха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2278" w:type="dxa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Северовокзальная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624,0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6.3.15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4107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ЭЧ-1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2278" w:type="dxa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Северовокзальная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444,0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6.3.16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4107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Здание цеха товаров народного потребления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2278" w:type="dxa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Северовокзальная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248,0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15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6.3.17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4107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Блок вспомогательных помещений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2278" w:type="dxa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Северовокзальная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241,0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6.3.18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4107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Здания АБК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2278" w:type="dxa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Северовокзальная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430,4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5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6.3.19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4107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Здания гаража ПМС-67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2278" w:type="dxa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Северовокзальная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463,6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6.3.20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W w:w="4107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Учебный корпус дорожного центра обучения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2278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Транспортная, д.6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1868,0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промышленным и производственным зданиям: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19744,24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котельной: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23005,84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7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Электрокотельная ПС-500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Многоквартирные дома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98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7.1.1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Энергетиков,1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80,4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41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7.1.2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Энергетиков,3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79,4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73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7.1.3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Энергетиков,4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78,3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63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7.1.4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Энергетиков,5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41,2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63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7.1.5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Энергетиков,6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87,6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63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7.1.6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Энергетиков,9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40,8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63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7.1.7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Энергетиков,10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82,7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63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7.1.8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Энергетиков,11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83,2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63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7.1.9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Энергетиков,12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85,3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63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7.1.10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Энергетиков,13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87,2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63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7.1.11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Энергетиков,14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38,9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63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7.1.12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83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3551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Энергетиков,15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506,0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многоквартирным домам: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1291,0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7.2.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Индивидуальные жилые дома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63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7.2.1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W w:w="322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Индивидуальный жилой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W w:w="315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Энергетиков,2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38,1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63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7.2.2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W w:w="322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Индивидуальный жилой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W w:w="315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Энергетиков,7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41,38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63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7.2.3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W w:w="322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Индивидуальный жилой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W w:w="315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Энергетиков,8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39,0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63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7.2.4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W w:w="3229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Индивидуальный жилой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W w:w="3155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Энергетиков,16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39,2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индивидуальным жилым домам: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157,68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84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8"/>
            <w:shd w:val="clear" w:color="auto" w:fill="auto"/>
            <w:tcW w:w="837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Общественные здания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общественным зданиям: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котельной: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1448,68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3"/>
            <w:shd w:val="clear" w:color="auto" w:fill="auto"/>
            <w:tcW w:w="7228" w:type="dxa"/>
            <w:vAlign w:val="center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муниципальному образованию: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W w:w="1988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594960,06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</w:tbl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Графические материалы с обозначением зон действия </w:t>
      </w:r>
      <w:r>
        <w:rPr>
          <w:rFonts w:eastAsiaTheme="majorEastAsia"/>
          <w:bCs/>
          <w:shd w:val="clear" w:color="auto" w:fill="ffffff"/>
        </w:rPr>
        <w:t xml:space="preserve">источников тепловой энергии</w:t>
      </w:r>
      <w:r>
        <w:rPr>
          <w:rFonts w:eastAsiaTheme="minorHAnsi"/>
          <w:lang w:eastAsia="en-US"/>
        </w:rPr>
        <w:t xml:space="preserve">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представлены в Приложении 1 к Схеме теплоснабжения «</w:t>
      </w:r>
      <w:r>
        <w:rPr>
          <w:rFonts w:eastAsiaTheme="minorHAnsi"/>
          <w:lang w:eastAsia="en-US"/>
        </w:rPr>
        <w:t xml:space="preserve">Картографическая часть Схемы теплоснабжения»</w:t>
      </w:r>
      <w:r>
        <w:rPr>
          <w:rFonts w:eastAsiaTheme="minorEastAsia"/>
          <w:shd w:val="clear" w:color="auto" w:fill="ffffff"/>
        </w:rPr>
        <w:t xml:space="preserve">.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  <w:tab w:val="left" w:pos="1276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keepLines/>
        <w:keepNext/>
        <w:widowControl w:val="off"/>
        <w:rPr>
          <w:rFonts w:eastAsiaTheme="majorEastAsia"/>
          <w:bCs/>
        </w:rPr>
      </w:pPr>
      <w:r/>
      <w:bookmarkStart w:id="65" w:name="_Toc149055595"/>
      <w:r>
        <w:rPr>
          <w:rFonts w:eastAsiaTheme="majorEastAsia"/>
          <w:bCs/>
        </w:rPr>
        <w:t xml:space="preserve">Часть 5. Тепловые нагрузки потребителей тепловой энергии, групп потребителей тепловой энергии</w:t>
      </w:r>
      <w:bookmarkEnd w:id="65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Расчетным элементом территориального деления, неизменяемым в границах на весь срок проектирования, являются кадастровые кварталы, в границах которых расположены зоны действия </w:t>
      </w:r>
      <w:r>
        <w:rPr>
          <w:rFonts w:eastAsiaTheme="minorHAnsi"/>
          <w:lang w:eastAsia="en-US"/>
        </w:rPr>
        <w:t xml:space="preserve">муниципальных 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Значения спроса на тепловую мощность котельной №1 (ТКСИ) при расчетных температурах наружного воздуха, предусмотренных СНиП 23-01-99 «Строительная климатология», в расчетных элементных территориального деления по температурному графику 95-70</w:t>
      </w:r>
      <w:r>
        <w:rPr>
          <w:rFonts w:eastAsiaTheme="minorHAnsi"/>
          <w:lang w:eastAsia="en-US"/>
        </w:rPr>
        <w:t xml:space="preserve">°С представлены в Таблице 18.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right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18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993" w:leader="none"/>
        </w:tabs>
        <w:rPr>
          <w:rFonts w:eastAsiaTheme="minorEastAsia"/>
        </w:rPr>
      </w:pPr>
      <w:r>
        <w:rPr>
          <w:rFonts w:eastAsiaTheme="minorEastAsia"/>
          <w:shd w:val="clear" w:color="auto" w:fill="ffffff"/>
        </w:rPr>
        <w:t xml:space="preserve">Значения спроса на тепловую мощность котельной </w:t>
      </w:r>
      <w:r>
        <w:rPr>
          <w:rFonts w:eastAsiaTheme="minorEastAsia"/>
        </w:rPr>
        <w:t xml:space="preserve">№1 (ТКСИ)</w:t>
      </w:r>
      <w:r>
        <w:rPr>
          <w:rFonts w:eastAsiaTheme="minorEastAsia"/>
        </w:rPr>
      </w:r>
      <w:r>
        <w:rPr>
          <w:rFonts w:eastAsiaTheme="minorEastAsia"/>
        </w:rPr>
      </w:r>
    </w:p>
    <w:tbl>
      <w:tblPr>
        <w:tblW w:w="946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713"/>
      </w:tblGrid>
      <w:tr>
        <w:tblPrEx/>
        <w:trPr>
          <w:trHeight w:val="278"/>
        </w:trPr>
        <w:tc>
          <w:tcPr>
            <w:tcW w:w="195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Наименование параметра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gridSpan w:val="11"/>
            <w:tcW w:w="751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Расчетная температура наружного воздуха,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77"/>
        </w:trPr>
        <w:tc>
          <w:tcPr>
            <w:tcW w:w="195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-10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-15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-20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-25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-30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-35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71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-39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19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Температура сетевой воды в подающем трубопроводе,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60,0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60,0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60,0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60,0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62,7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68,6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74,3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79,9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85,3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90,7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71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95,0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19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Температура сетевой воды в обратном трубопроводе,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48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48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48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48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50,0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53,7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57,3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60,8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64,2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67,4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71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70,0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19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Разница температур сетей воды в подающем и обратном трубопроводах,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12,7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14,8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16,9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19,1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21,2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23,3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71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25,0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19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Спрос на тепловую мощность котельной №1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(ТКСИ) в кадастровом квартале 38:29: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011618, Гкал/час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shd w:val="clear" w:color="auto" w:fill="ffffff" w:themeFill="background1"/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  <w:lang w:val="en-US"/>
              </w:rPr>
              <w:t xml:space="preserve">11,8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shd w:val="clear" w:color="auto" w:fill="ffffff" w:themeFill="background1"/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11,8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shd w:val="clear" w:color="auto" w:fill="ffffff" w:themeFill="background1"/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11,8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shd w:val="clear" w:color="auto" w:fill="ffffff" w:themeFill="background1"/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11,8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shd w:val="clear" w:color="auto" w:fill="ffffff" w:themeFill="background1"/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12,5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shd w:val="clear" w:color="auto" w:fill="ffffff" w:themeFill="background1"/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</w:rPr>
              <w:t xml:space="preserve">14,7</w:t>
            </w:r>
            <w:r>
              <w:rPr>
                <w:sz w:val="22"/>
                <w:lang w:val="en-US"/>
              </w:rPr>
            </w:r>
            <w:r>
              <w:rPr>
                <w:sz w:val="22"/>
                <w:lang w:val="en-US"/>
              </w:rPr>
            </w:r>
          </w:p>
        </w:tc>
        <w:tc>
          <w:tcPr>
            <w:shd w:val="clear" w:color="auto" w:fill="ffffff" w:themeFill="background1"/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16,8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shd w:val="clear" w:color="auto" w:fill="ffffff" w:themeFill="background1"/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</w:t>
            </w:r>
            <w:r>
              <w:rPr>
                <w:sz w:val="22"/>
              </w:rPr>
              <w:t xml:space="preserve">8</w:t>
            </w:r>
            <w:r>
              <w:rPr>
                <w:sz w:val="22"/>
              </w:rPr>
              <w:t xml:space="preserve">,8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shd w:val="clear" w:color="auto" w:fill="ffffff" w:themeFill="background1"/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20,8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shd w:val="clear" w:color="auto" w:fill="ffffff" w:themeFill="background1"/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22,9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shd w:val="clear" w:color="auto" w:fill="ffffff" w:themeFill="background1"/>
            <w:tcW w:w="7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24,7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</w:tr>
    </w:tbl>
    <w:p>
      <w:pPr>
        <w:ind w:firstLine="709"/>
        <w:jc w:val="both"/>
        <w:widowControl w:val="off"/>
        <w:rPr>
          <w:rFonts w:eastAsiaTheme="minorEastAsia"/>
        </w:rPr>
      </w:pPr>
      <w:r>
        <w:rPr>
          <w:rFonts w:eastAsiaTheme="minorHAnsi"/>
          <w:highlight w:val="none"/>
          <w:lang w:eastAsia="en-US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rPr>
          <w:rFonts w:eastAsiaTheme="minorHAnsi"/>
          <w:highlight w:val="none"/>
          <w:shd w:val="clear" w:color="auto" w:fill="ffffff"/>
          <w:lang w:eastAsia="en-US"/>
        </w:rPr>
      </w:pPr>
      <w:r>
        <w:rPr>
          <w:rFonts w:eastAsiaTheme="minorEastAsia"/>
          <w:shd w:val="clear" w:color="auto" w:fill="ffffff"/>
        </w:rPr>
        <w:t xml:space="preserve">Значения спроса на тепловую мощность котельной </w:t>
      </w:r>
      <w:r>
        <w:rPr>
          <w:rFonts w:eastAsiaTheme="minorHAnsi"/>
          <w:lang w:eastAsia="en-US"/>
        </w:rPr>
        <w:t xml:space="preserve">№2 (ШПЗ) </w:t>
      </w:r>
      <w:r>
        <w:rPr>
          <w:rFonts w:eastAsiaTheme="minorEastAsia"/>
          <w:shd w:val="clear" w:color="auto" w:fill="ffffff"/>
        </w:rPr>
        <w:t xml:space="preserve">при расчетных температурах наружного воздуха, предусмотренных СНиП 23-01-99 «Строительная климатология», в расчетных элементных территориального деления по температурному графику 95-70</w:t>
      </w:r>
      <w:r>
        <w:rPr>
          <w:rFonts w:eastAsiaTheme="minorHAnsi"/>
          <w:lang w:eastAsia="en-US"/>
        </w:rPr>
        <w:t xml:space="preserve">°С представлены в Таблице 18-1.</w:t>
      </w:r>
      <w:r>
        <w:rPr>
          <w:rFonts w:eastAsiaTheme="minorHAnsi"/>
          <w:highlight w:val="none"/>
          <w:shd w:val="clear" w:color="auto" w:fill="ffffff"/>
          <w:lang w:eastAsia="en-US"/>
        </w:rPr>
      </w:r>
      <w:r>
        <w:rPr>
          <w:rFonts w:eastAsiaTheme="minorHAnsi"/>
          <w:highlight w:val="none"/>
          <w:shd w:val="clear" w:color="auto" w:fill="ffffff"/>
          <w:lang w:eastAsia="en-US"/>
        </w:rPr>
      </w:r>
    </w:p>
    <w:p>
      <w:pPr>
        <w:jc w:val="right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18-1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993" w:leader="none"/>
        </w:tabs>
        <w:rPr>
          <w:rFonts w:eastAsiaTheme="minorEastAsia"/>
        </w:rPr>
      </w:pPr>
      <w:r>
        <w:rPr>
          <w:rFonts w:eastAsiaTheme="minorEastAsia"/>
          <w:shd w:val="clear" w:color="auto" w:fill="ffffff"/>
        </w:rPr>
        <w:t xml:space="preserve">Значения спроса на тепловую мощность котельных </w:t>
      </w:r>
      <w:r>
        <w:rPr>
          <w:rFonts w:eastAsiaTheme="minorEastAsia"/>
        </w:rPr>
        <w:t xml:space="preserve">№1 (ТКСИ) и №2 (ШПЗ) </w:t>
      </w:r>
      <w:r>
        <w:rPr>
          <w:rFonts w:eastAsiaTheme="minorEastAsia"/>
        </w:rPr>
      </w:r>
      <w:r>
        <w:rPr>
          <w:rFonts w:eastAsiaTheme="minorEastAsia"/>
        </w:rPr>
      </w:r>
    </w:p>
    <w:tbl>
      <w:tblPr>
        <w:tblW w:w="946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713"/>
      </w:tblGrid>
      <w:tr>
        <w:tblPrEx/>
        <w:trPr>
          <w:trHeight w:val="278"/>
        </w:trPr>
        <w:tc>
          <w:tcPr>
            <w:tcW w:w="195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Наименование параметра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gridSpan w:val="11"/>
            <w:tcW w:w="751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Расчетная температура наружного воздуха,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77"/>
        </w:trPr>
        <w:tc>
          <w:tcPr>
            <w:tcW w:w="195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-10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-15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-20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-25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-30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-35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71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-39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19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Температура сетевой воды в подающем трубопроводе,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68,6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74,3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79,9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85,3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90,7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13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19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Температура сетевой воды в обратном трубопроводе,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val="en-US" w:eastAsia="en-US"/>
              </w:rPr>
              <w:t xml:space="preserve">51,5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val="en-US" w:eastAsia="en-US"/>
              </w:rPr>
              <w:t xml:space="preserve">51,5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val="en-US" w:eastAsia="en-US"/>
              </w:rPr>
              <w:t xml:space="preserve">51,5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val="en-US" w:eastAsia="en-US"/>
              </w:rPr>
              <w:t xml:space="preserve">51,5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val="en-US" w:eastAsia="en-US"/>
              </w:rPr>
              <w:t xml:space="preserve">51,5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53,7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57,3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60,8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64,2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67,4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13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19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Разница температур сетей воды в подающем и обратном трубопроводах,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13,5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13,5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13,5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13,5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13,5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14,9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19,1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21,1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23,3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13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1951" w:type="dxa"/>
            <w:vAlign w:val="center"/>
            <w:textDirection w:val="lrTb"/>
            <w:noWrap w:val="false"/>
          </w:tcPr>
          <w:p>
            <w:pPr>
              <w:ind w:left="-142" w:righ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Спрос на тепловую мощность котельной №2 (ШПЗ) в кадастровом квартале 38:29: 011608, Гкал/час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18,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ind w:left="-79"/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18,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ind w:left="-50"/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18,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ind w:left="-163"/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18,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ind w:left="-135"/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18,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ind w:left="-106"/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20,1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ind w:left="-77"/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22,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ind w:left="-48"/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25,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ind w:left="-39"/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28,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80" w:type="dxa"/>
            <w:vAlign w:val="center"/>
            <w:textDirection w:val="lrTb"/>
            <w:noWrap w:val="false"/>
          </w:tcPr>
          <w:p>
            <w:pPr>
              <w:ind w:left="-133"/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31,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13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33,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</w:tbl>
    <w:p>
      <w:pPr>
        <w:ind w:firstLine="709"/>
        <w:jc w:val="both"/>
        <w:widowControl w:val="off"/>
        <w:rPr>
          <w:rFonts w:eastAsiaTheme="minorEastAsia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Значения спроса на тепловую мощность котельной №3 (Мелькомбинат) при расчетных температурах наружного воздуха, предусмотренных СНиП 23-01-99 «Строительная климатология», в расчетных элементных территориального деления по температурному графику 80-62°С </w:t>
      </w:r>
      <w:r>
        <w:rPr>
          <w:rFonts w:eastAsiaTheme="minorHAnsi"/>
          <w:lang w:eastAsia="en-US"/>
        </w:rPr>
        <w:t xml:space="preserve">представлены в Таблице 19</w:t>
      </w:r>
      <w:r>
        <w:rPr>
          <w:rFonts w:eastAsiaTheme="minorEastAsia"/>
          <w:shd w:val="clear" w:color="auto" w:fill="ffffff"/>
        </w:rPr>
        <w:t xml:space="preserve">.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jc w:val="right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19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Значения спроса на тепловую мощность котельной №3 (Мелькомбинат)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tbl>
      <w:tblPr>
        <w:tblW w:w="4945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679"/>
        <w:gridCol w:w="679"/>
        <w:gridCol w:w="679"/>
        <w:gridCol w:w="680"/>
        <w:gridCol w:w="680"/>
        <w:gridCol w:w="680"/>
        <w:gridCol w:w="680"/>
        <w:gridCol w:w="680"/>
        <w:gridCol w:w="680"/>
        <w:gridCol w:w="680"/>
        <w:gridCol w:w="717"/>
      </w:tblGrid>
      <w:tr>
        <w:tblPrEx/>
        <w:trPr>
          <w:trHeight w:val="278"/>
        </w:trPr>
        <w:tc>
          <w:tcPr>
            <w:tcW w:w="1031" w:type="pct"/>
            <w:vAlign w:val="center"/>
            <w:vMerge w:val="restart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Наименование параметра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gridSpan w:val="11"/>
            <w:tcW w:w="396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Расчетная температура наружного воздуха,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77"/>
        </w:trPr>
        <w:tc>
          <w:tcPr>
            <w:tcW w:w="1031" w:type="pct"/>
            <w:vAlign w:val="center"/>
            <w:vMerge w:val="continue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-10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-15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-20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-25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-30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-35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79" w:type="pct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-39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1031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Температура сетевой воды в подающем трубопроводе,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33,9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43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48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54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63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72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77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80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7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80,0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1031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Температура сетевой воды в обратном трубопроводе,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30,8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38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42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45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52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7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62,0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1031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Разница температур сетей воды в подающем и обратном трубопроводах,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3,1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7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1031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Спрос на тепловую мощность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котельной № 3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(Мелькомбинат) в кадастровом квартале 38:29: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020603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, Гкал/час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0,62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0,74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1,11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1,23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1,60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1,85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2,10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9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2,22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79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2,22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</w:tbl>
    <w:p>
      <w:pPr>
        <w:ind w:firstLine="709"/>
        <w:jc w:val="both"/>
        <w:tabs>
          <w:tab w:val="left" w:pos="993" w:leader="none"/>
        </w:tabs>
        <w:rPr>
          <w:rFonts w:eastAsiaTheme="minorEastAsia"/>
        </w:rPr>
      </w:pPr>
      <w:r>
        <w:rPr>
          <w:rFonts w:eastAsiaTheme="minorHAnsi"/>
          <w:highlight w:val="none"/>
          <w:lang w:eastAsia="en-US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993" w:leader="none"/>
        </w:tabs>
        <w:rPr>
          <w:rFonts w:eastAsiaTheme="minorHAnsi"/>
          <w:highlight w:val="none"/>
          <w:lang w:eastAsia="en-US"/>
        </w:rPr>
      </w:pPr>
      <w:r>
        <w:rPr>
          <w:rFonts w:eastAsiaTheme="minorEastAsia"/>
          <w:shd w:val="clear" w:color="auto" w:fill="ffffff"/>
        </w:rPr>
        <w:t xml:space="preserve">Значения спроса на тепловую мощность котельной №4 (Экспедиция №5) при расчетных температурах наружного воздуха, предусмотренных СНиП 23-01-99 «Строительная климатология», в расчетных элементных территориального деления по температурному графику 70-55°С </w:t>
      </w:r>
      <w:r>
        <w:rPr>
          <w:rFonts w:eastAsiaTheme="minorHAnsi"/>
          <w:lang w:eastAsia="en-US"/>
        </w:rPr>
        <w:t xml:space="preserve">представлены в Таблице 20.</w:t>
      </w:r>
      <w:r>
        <w:rPr>
          <w:rFonts w:eastAsiaTheme="minorHAnsi"/>
          <w:highlight w:val="none"/>
          <w:lang w:eastAsia="en-US"/>
        </w:rPr>
      </w:r>
      <w:r>
        <w:rPr>
          <w:rFonts w:eastAsiaTheme="minorHAnsi"/>
          <w:highlight w:val="none"/>
          <w:lang w:eastAsia="en-US"/>
        </w:rPr>
      </w:r>
    </w:p>
    <w:p>
      <w:pPr>
        <w:jc w:val="right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20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993" w:leader="none"/>
        </w:tabs>
        <w:rPr>
          <w:rFonts w:eastAsiaTheme="minorEastAsia"/>
        </w:rPr>
      </w:pPr>
      <w:r>
        <w:rPr>
          <w:rFonts w:eastAsiaTheme="minorEastAsia"/>
          <w:shd w:val="clear" w:color="auto" w:fill="ffffff"/>
        </w:rPr>
        <w:t xml:space="preserve">Значения спроса на тепловую мощность </w:t>
      </w:r>
      <w:r>
        <w:rPr>
          <w:rFonts w:eastAsiaTheme="minorHAnsi"/>
          <w:lang w:eastAsia="en-US"/>
        </w:rPr>
        <w:t xml:space="preserve">котельной </w:t>
      </w:r>
      <w:r>
        <w:rPr>
          <w:rFonts w:eastAsiaTheme="minorEastAsia"/>
        </w:rPr>
        <w:t xml:space="preserve">№4 (Экспедиция №5)</w:t>
      </w:r>
      <w:r>
        <w:rPr>
          <w:rFonts w:eastAsiaTheme="minorEastAsia"/>
        </w:rPr>
      </w:r>
      <w:r>
        <w:rPr>
          <w:rFonts w:eastAsiaTheme="minorEastAsia"/>
        </w:rPr>
      </w:r>
    </w:p>
    <w:tbl>
      <w:tblPr>
        <w:tblW w:w="5019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678"/>
        <w:gridCol w:w="678"/>
        <w:gridCol w:w="680"/>
        <w:gridCol w:w="680"/>
        <w:gridCol w:w="680"/>
        <w:gridCol w:w="680"/>
        <w:gridCol w:w="680"/>
        <w:gridCol w:w="680"/>
        <w:gridCol w:w="680"/>
        <w:gridCol w:w="680"/>
        <w:gridCol w:w="717"/>
      </w:tblGrid>
      <w:tr>
        <w:tblPrEx/>
        <w:trPr>
          <w:trHeight w:val="278"/>
        </w:trPr>
        <w:tc>
          <w:tcPr>
            <w:tcW w:w="1089" w:type="pct"/>
            <w:vAlign w:val="center"/>
            <w:vMerge w:val="restart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Наименование параметра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gridSpan w:val="11"/>
            <w:tcW w:w="3911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Расчетная температура наружного воздуха,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77"/>
        </w:trPr>
        <w:tc>
          <w:tcPr>
            <w:tcW w:w="1089" w:type="pct"/>
            <w:vAlign w:val="center"/>
            <w:vMerge w:val="continue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-10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-15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-20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-25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-30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-35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73" w:type="pct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-39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108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Температура сетевой воды в подающем трубопроводе,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32,6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37,6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42,3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46,9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51,3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55,6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59,8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63,9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67,9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71,9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7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75,0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108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Температура сетевой воды в обратном трубопроводе,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29,2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32,5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35,5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38,4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41,1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43,7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46,2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48,6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50,9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53,2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7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55,0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108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Разница температур сетей воды в подающем и обратном трубопроводах,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3,4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5,1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6,8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8,5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10,2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11,9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13,6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15,3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16,9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18,6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7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20,0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108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Спрос на тепловую мощность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котельной № 4 (Экспедиция 5) в кадастровом квартале 38:29:020243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, Гкал/час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0,220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0,331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0,441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0,551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0,661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0,771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0,881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0,992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1,102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1,212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7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1,380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</w:tbl>
    <w:p>
      <w:pPr>
        <w:ind w:firstLine="709"/>
        <w:jc w:val="both"/>
        <w:tabs>
          <w:tab w:val="left" w:pos="993" w:leader="none"/>
        </w:tabs>
        <w:rPr>
          <w:rFonts w:eastAsiaTheme="minorEastAsia"/>
        </w:rPr>
      </w:pPr>
      <w:r>
        <w:rPr>
          <w:rFonts w:eastAsiaTheme="minorHAnsi"/>
          <w:highlight w:val="none"/>
          <w:lang w:eastAsia="en-US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993" w:leader="none"/>
        </w:tabs>
        <w:rPr>
          <w:rFonts w:eastAsiaTheme="minorHAnsi"/>
          <w:highlight w:val="none"/>
          <w:lang w:eastAsia="en-US"/>
        </w:rPr>
      </w:pPr>
      <w:r>
        <w:rPr>
          <w:rFonts w:eastAsiaTheme="minorEastAsia"/>
          <w:shd w:val="clear" w:color="auto" w:fill="ffffff"/>
        </w:rPr>
        <w:t xml:space="preserve">Значения спроса на тепловую мощность </w:t>
      </w:r>
      <w:r>
        <w:rPr>
          <w:rFonts w:eastAsiaTheme="minorHAnsi"/>
          <w:lang w:eastAsia="en-US"/>
        </w:rPr>
        <w:t xml:space="preserve">котельной </w:t>
      </w:r>
      <w:r>
        <w:rPr>
          <w:rFonts w:eastAsiaTheme="minorEastAsia"/>
        </w:rPr>
        <w:t xml:space="preserve">№5 (Совхоз)</w:t>
      </w:r>
      <w:r>
        <w:rPr>
          <w:rFonts w:eastAsiaTheme="minorEastAsia"/>
          <w:shd w:val="clear" w:color="auto" w:fill="ffffff"/>
        </w:rPr>
        <w:t xml:space="preserve"> при расчетных температурах наружного воздуха, предусмотренных СНиП 23-01-99 «Строительная климатология», в расчетных элементных территориального деления по температурному графику 70-50 </w:t>
      </w:r>
      <w:r>
        <w:rPr>
          <w:rFonts w:eastAsiaTheme="minorHAnsi"/>
          <w:lang w:eastAsia="en-US"/>
        </w:rPr>
        <w:t xml:space="preserve">°С представлены в Таблице 21.</w:t>
      </w:r>
      <w:r>
        <w:rPr>
          <w:rFonts w:eastAsiaTheme="minorHAnsi"/>
          <w:highlight w:val="none"/>
          <w:lang w:eastAsia="en-US"/>
        </w:rPr>
      </w:r>
      <w:r>
        <w:rPr>
          <w:rFonts w:eastAsiaTheme="minorHAnsi"/>
          <w:highlight w:val="none"/>
          <w:lang w:eastAsia="en-US"/>
        </w:rPr>
      </w:r>
    </w:p>
    <w:p>
      <w:pPr>
        <w:jc w:val="right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21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993" w:leader="none"/>
        </w:tabs>
        <w:rPr>
          <w:rFonts w:eastAsiaTheme="minorEastAsia"/>
        </w:rPr>
      </w:pPr>
      <w:r>
        <w:rPr>
          <w:rFonts w:eastAsiaTheme="minorEastAsia"/>
          <w:shd w:val="clear" w:color="auto" w:fill="ffffff"/>
        </w:rPr>
        <w:t xml:space="preserve">Значения спроса на тепловую мощность </w:t>
      </w:r>
      <w:r>
        <w:rPr>
          <w:rFonts w:eastAsiaTheme="minorHAnsi"/>
          <w:lang w:eastAsia="en-US"/>
        </w:rPr>
        <w:t xml:space="preserve">котельной </w:t>
      </w:r>
      <w:r>
        <w:rPr>
          <w:rFonts w:eastAsiaTheme="minorEastAsia"/>
        </w:rPr>
        <w:t xml:space="preserve">№5 (Совхоз)</w:t>
      </w:r>
      <w:r>
        <w:rPr>
          <w:rFonts w:eastAsiaTheme="minorEastAsia"/>
        </w:rPr>
      </w:r>
      <w:r>
        <w:rPr>
          <w:rFonts w:eastAsiaTheme="minorEastAsia"/>
        </w:rPr>
      </w:r>
    </w:p>
    <w:tbl>
      <w:tblPr>
        <w:tblW w:w="5019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678"/>
        <w:gridCol w:w="678"/>
        <w:gridCol w:w="680"/>
        <w:gridCol w:w="680"/>
        <w:gridCol w:w="680"/>
        <w:gridCol w:w="680"/>
        <w:gridCol w:w="680"/>
        <w:gridCol w:w="680"/>
        <w:gridCol w:w="680"/>
        <w:gridCol w:w="680"/>
        <w:gridCol w:w="717"/>
      </w:tblGrid>
      <w:tr>
        <w:tblPrEx/>
        <w:trPr>
          <w:trHeight w:val="278"/>
        </w:trPr>
        <w:tc>
          <w:tcPr>
            <w:tcW w:w="1089" w:type="pct"/>
            <w:vAlign w:val="center"/>
            <w:vMerge w:val="restart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Наименование параметра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gridSpan w:val="11"/>
            <w:tcW w:w="3911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Расчетная температура наружного воздуха,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313"/>
        </w:trPr>
        <w:tc>
          <w:tcPr>
            <w:tcW w:w="1089" w:type="pct"/>
            <w:vAlign w:val="center"/>
            <w:vMerge w:val="continue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-10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-15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-20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-25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-30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-35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73" w:type="pct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-39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</w:p>
        </w:tc>
      </w:tr>
      <w:tr>
        <w:tblPrEx/>
        <w:trPr/>
        <w:tc>
          <w:tcPr>
            <w:tcW w:w="108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Температура сетевой воды в подающем трубопроводе,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31,4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7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70,0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108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Температура сетевой воды в обратном трубопроводе,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28,0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7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50,0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108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pacing w:val="-6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pacing w:val="-6"/>
                <w:sz w:val="22"/>
                <w:szCs w:val="22"/>
                <w:shd w:val="clear" w:color="auto" w:fill="ffffff"/>
              </w:rPr>
              <w:t xml:space="preserve">Разница температур сетей воды в подающем и обратном трубопроводах, </w:t>
            </w:r>
            <w:r>
              <w:rPr>
                <w:rFonts w:eastAsiaTheme="minorHAnsi"/>
                <w:spacing w:val="-6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pacing w:val="-6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pacing w:val="-6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3,4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7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20,0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108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pacing w:val="-6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pacing w:val="-6"/>
                <w:sz w:val="22"/>
                <w:szCs w:val="22"/>
                <w:shd w:val="clear" w:color="auto" w:fill="ffffff"/>
              </w:rPr>
              <w:t xml:space="preserve">Спрос на тепловую мощность </w:t>
            </w:r>
            <w:r>
              <w:rPr>
                <w:rFonts w:eastAsiaTheme="minorHAnsi"/>
                <w:spacing w:val="-6"/>
                <w:sz w:val="22"/>
                <w:szCs w:val="22"/>
                <w:lang w:eastAsia="en-US"/>
              </w:rPr>
              <w:t xml:space="preserve">котельной №5 (Совхоз) в кадастровом квартале 38:29:011701</w:t>
            </w:r>
            <w:r>
              <w:rPr>
                <w:rFonts w:eastAsiaTheme="minorEastAsia"/>
                <w:spacing w:val="-6"/>
                <w:sz w:val="22"/>
                <w:szCs w:val="22"/>
                <w:shd w:val="clear" w:color="auto" w:fill="ffffff"/>
              </w:rPr>
              <w:t xml:space="preserve">, Гкал/час</w:t>
            </w:r>
            <w:r>
              <w:rPr>
                <w:rFonts w:eastAsiaTheme="minorEastAsia"/>
                <w:spacing w:val="-6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pacing w:val="-6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0,05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0,09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0,11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0,14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0,15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0,18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0,20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0,23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0,26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0,29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73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0,30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</w:tbl>
    <w:p>
      <w:pPr>
        <w:ind w:firstLine="709"/>
        <w:jc w:val="both"/>
        <w:tabs>
          <w:tab w:val="left" w:pos="993" w:leader="none"/>
        </w:tabs>
        <w:rPr>
          <w:rFonts w:eastAsiaTheme="minorEastAsia"/>
        </w:rPr>
      </w:pPr>
      <w:r>
        <w:rPr>
          <w:rFonts w:eastAsiaTheme="minorHAnsi"/>
          <w:highlight w:val="none"/>
          <w:lang w:eastAsia="en-US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993" w:leader="none"/>
        </w:tabs>
        <w:rPr>
          <w:rFonts w:eastAsiaTheme="minorHAnsi"/>
          <w:highlight w:val="none"/>
          <w:lang w:eastAsia="en-US"/>
        </w:rPr>
      </w:pPr>
      <w:r>
        <w:rPr>
          <w:rFonts w:eastAsiaTheme="minorEastAsia"/>
          <w:shd w:val="clear" w:color="auto" w:fill="ffffff"/>
        </w:rPr>
        <w:t xml:space="preserve">Значения спроса на тепловую мощность электро</w:t>
      </w:r>
      <w:r>
        <w:rPr>
          <w:rFonts w:eastAsiaTheme="minorHAnsi"/>
          <w:lang w:eastAsia="en-US"/>
        </w:rPr>
        <w:t xml:space="preserve">котельных </w:t>
      </w:r>
      <w:r>
        <w:rPr>
          <w:rFonts w:eastAsiaTheme="minorEastAsia"/>
          <w:shd w:val="clear" w:color="auto" w:fill="ffffff"/>
        </w:rPr>
        <w:t xml:space="preserve">ДТВ ОАО «РЖД» и ПС-500 при расчетных температурах наружного воздуха, предусмотренных СНиП 23-01-</w:t>
      </w:r>
      <w:r>
        <w:rPr>
          <w:rFonts w:eastAsiaTheme="minorEastAsia"/>
          <w:shd w:val="clear" w:color="auto" w:fill="ffffff"/>
        </w:rPr>
        <w:t xml:space="preserve">99 «Строительная климатология», в расчетных элементных территориального деления по температурному графику 95-70 </w:t>
      </w:r>
      <w:r>
        <w:rPr>
          <w:rFonts w:eastAsiaTheme="minorHAnsi"/>
          <w:lang w:eastAsia="en-US"/>
        </w:rPr>
        <w:t xml:space="preserve">°С представлены в Таблице 22.</w:t>
      </w:r>
      <w:r>
        <w:rPr>
          <w:rFonts w:eastAsiaTheme="minorHAnsi"/>
          <w:highlight w:val="none"/>
          <w:lang w:eastAsia="en-US"/>
        </w:rPr>
      </w:r>
      <w:r>
        <w:rPr>
          <w:rFonts w:eastAsiaTheme="minorHAnsi"/>
          <w:highlight w:val="none"/>
          <w:lang w:eastAsia="en-US"/>
        </w:rPr>
      </w:r>
    </w:p>
    <w:p>
      <w:pPr>
        <w:jc w:val="right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22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993" w:leader="none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Значения спроса на тепловую мощность электро</w:t>
      </w:r>
      <w:r>
        <w:rPr>
          <w:rFonts w:eastAsiaTheme="minorHAnsi"/>
          <w:lang w:eastAsia="en-US"/>
        </w:rPr>
        <w:t xml:space="preserve">котельных </w:t>
      </w:r>
      <w:r>
        <w:rPr>
          <w:rFonts w:eastAsiaTheme="minorEastAsia"/>
          <w:shd w:val="clear" w:color="auto" w:fill="ffffff"/>
        </w:rPr>
        <w:t xml:space="preserve">ДТВ ОАО «РЖД» и ПС-500 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tbl>
      <w:tblPr>
        <w:tblW w:w="5019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678"/>
        <w:gridCol w:w="678"/>
        <w:gridCol w:w="676"/>
        <w:gridCol w:w="8"/>
        <w:gridCol w:w="676"/>
        <w:gridCol w:w="8"/>
        <w:gridCol w:w="682"/>
        <w:gridCol w:w="684"/>
        <w:gridCol w:w="678"/>
        <w:gridCol w:w="678"/>
        <w:gridCol w:w="678"/>
        <w:gridCol w:w="680"/>
        <w:gridCol w:w="709"/>
      </w:tblGrid>
      <w:tr>
        <w:tblPrEx/>
        <w:trPr>
          <w:trHeight w:val="278"/>
          <w:tblHeader/>
        </w:trPr>
        <w:tc>
          <w:tcPr>
            <w:tcW w:w="1089" w:type="pct"/>
            <w:vAlign w:val="center"/>
            <w:vMerge w:val="restart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Наименование параметра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gridSpan w:val="13"/>
            <w:tcW w:w="3911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Расчетная температура наружного воздуха,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77"/>
          <w:tblHeader/>
        </w:trPr>
        <w:tc>
          <w:tcPr>
            <w:tcW w:w="1089" w:type="pct"/>
            <w:vAlign w:val="center"/>
            <w:vMerge w:val="continue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2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gridSpan w:val="2"/>
            <w:tcW w:w="35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gridSpan w:val="2"/>
            <w:tcW w:w="35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-10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-15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-20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-25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-30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-35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70" w:type="pct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-39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108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Температура сетевой воды в подающем трубопроводе,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37,2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44,1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2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50,5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gridSpan w:val="2"/>
            <w:tcW w:w="35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56,7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gridSpan w:val="2"/>
            <w:tcW w:w="35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62,7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68,6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74,3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79,9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85,3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90,7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70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95,0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108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Температура сетевой воды в обратном трубопроводе,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33,0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37,7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2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42,1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gridSpan w:val="2"/>
            <w:tcW w:w="35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46,1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gridSpan w:val="2"/>
            <w:tcW w:w="35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50,0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53,7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57,3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60,8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64,2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67,4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70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70,0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108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pacing w:val="-6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pacing w:val="-6"/>
                <w:sz w:val="22"/>
                <w:szCs w:val="22"/>
                <w:shd w:val="clear" w:color="auto" w:fill="ffffff"/>
              </w:rPr>
              <w:t xml:space="preserve">Разница температур сетей воды в подающем и обратном трубопроводах, </w:t>
            </w:r>
            <w:r>
              <w:rPr>
                <w:rFonts w:eastAsiaTheme="minorHAnsi"/>
                <w:spacing w:val="-6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pacing w:val="-6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pacing w:val="-6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4,2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6,4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2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8,5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gridSpan w:val="2"/>
            <w:tcW w:w="35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10,6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gridSpan w:val="2"/>
            <w:tcW w:w="35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12,7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14,8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16,9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19,1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21,2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23,3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70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25,0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108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pacing w:val="-6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pacing w:val="-6"/>
                <w:sz w:val="22"/>
                <w:szCs w:val="22"/>
                <w:shd w:val="clear" w:color="auto" w:fill="ffffff"/>
              </w:rPr>
              <w:t xml:space="preserve">Спрос на тепловую мощность электрокотельной ДТВ ОАО «РЖД», Гкал/час</w:t>
            </w:r>
            <w:r>
              <w:rPr>
                <w:rFonts w:eastAsiaTheme="minorEastAsia"/>
                <w:spacing w:val="-6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pacing w:val="-6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1,15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1,76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2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2,33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tcW w:w="356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2,91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tcW w:w="356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3,48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6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4,06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4,64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5,24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5,82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6,39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70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6,86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108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pacing w:val="-6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pacing w:val="-6"/>
                <w:sz w:val="22"/>
                <w:szCs w:val="22"/>
                <w:shd w:val="clear" w:color="auto" w:fill="ffffff"/>
              </w:rPr>
              <w:t xml:space="preserve">Спрос на тепловую мощность электрокотельной ПС-500, Гкал/час</w:t>
            </w:r>
            <w:r>
              <w:rPr>
                <w:rFonts w:eastAsiaTheme="minorEastAsia"/>
                <w:spacing w:val="-6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pacing w:val="-6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0,0436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0,0665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tcW w:w="356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0,0883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tcW w:w="356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0,1101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5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0,1319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0,1537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0,1755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0,1983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3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0,2201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4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0,2419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70" w:type="pct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0,2596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</w:tbl>
    <w:p>
      <w:pPr>
        <w:ind w:firstLine="709"/>
        <w:jc w:val="both"/>
        <w:rPr>
          <w:rFonts w:eastAsiaTheme="minorEastAsia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Значения расчетных тепловых нагрузок потребителей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в базовом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году представлены в Таблице 23.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jc w:val="right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23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Значения расчетных тепловых нагрузок потребителей </w:t>
      </w:r>
      <w:r>
        <w:rPr>
          <w:rFonts w:eastAsiaTheme="minorHAnsi"/>
          <w:lang w:eastAsia="en-US"/>
        </w:rPr>
        <w:t xml:space="preserve">котельных 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rPr>
          <w:rFonts w:eastAsiaTheme="minorEastAsia"/>
          <w:shd w:val="clear" w:color="auto" w:fill="ffffff"/>
        </w:rPr>
      </w:pPr>
      <w:r>
        <w:rPr>
          <w:rFonts w:eastAsiaTheme="minorHAnsi"/>
          <w:lang w:eastAsia="en-US"/>
        </w:rPr>
        <w:t xml:space="preserve">Тайшетского городского поселения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tbl>
      <w:tblPr>
        <w:tblW w:w="0" w:type="auto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4961"/>
        <w:gridCol w:w="4253"/>
      </w:tblGrid>
      <w:tr>
        <w:tblPrEx/>
        <w:trPr/>
        <w:tc>
          <w:tcPr>
            <w:tcW w:w="496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Наименование коллектора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Расчетная тепловая нагрузка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потребителей, Гкал/час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4961" w:type="dxa"/>
            <w:vAlign w:val="center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Коллектор котельной №1 (ТКСИ)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24,65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4961" w:type="dxa"/>
            <w:vAlign w:val="center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Коллектор котельной №2 (ШПЗ)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33,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70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4961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Коллектор котельной</w:t>
            </w:r>
            <w:r>
              <w:rPr>
                <w:rFonts w:eastAsiaTheme="minorEastAsia"/>
                <w:sz w:val="22"/>
                <w:szCs w:val="22"/>
              </w:rPr>
              <w:t xml:space="preserve"> №3 (Мелькомбинат)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2,22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4961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Коллектор котельной </w:t>
            </w:r>
            <w:r>
              <w:rPr>
                <w:rFonts w:eastAsiaTheme="minorEastAsia"/>
                <w:sz w:val="22"/>
                <w:szCs w:val="22"/>
              </w:rPr>
              <w:t xml:space="preserve">№4 (Экспедиция №5)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1,38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4961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Коллектор котельной </w:t>
            </w:r>
            <w:r>
              <w:rPr>
                <w:rFonts w:eastAsiaTheme="minorEastAsia"/>
                <w:sz w:val="22"/>
                <w:szCs w:val="22"/>
              </w:rPr>
              <w:t xml:space="preserve">№5 (Совхоз)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0,30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4961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Электрокотельная ДТВ ОАО «РЖД»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6,86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4961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Электрокотельная ПС-500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0,2596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496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Итого по муниципальному образованию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69,3696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</w:tbl>
    <w:p>
      <w:pPr>
        <w:ind w:firstLine="709"/>
        <w:jc w:val="both"/>
        <w:rPr>
          <w:rFonts w:eastAsiaTheme="minorEastAsia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Количество тепловой энергии, выработанной муниципальными котельными Тайшетского городского поселения, в расчетных элементах территориального деления за отопительный период и отчетный (базовый)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 в целом представлена в Таблице 24.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  <w:sectPr>
          <w:footerReference w:type="default" r:id="rId12"/>
          <w:footnotePr/>
          <w:endnotePr/>
          <w:type w:val="nextPage"/>
          <w:pgSz w:w="11906" w:h="16838" w:orient="portrait"/>
          <w:pgMar w:top="1134" w:right="851" w:bottom="1134" w:left="1701" w:header="340" w:footer="0" w:gutter="0"/>
          <w:cols w:num="1" w:sep="0" w:space="708" w:equalWidth="1"/>
          <w:docGrid w:linePitch="360"/>
          <w:titlePg/>
        </w:sectPr>
      </w:pP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right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24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Количество тепловой энергии, выработанной </w:t>
      </w:r>
      <w:r>
        <w:rPr>
          <w:rFonts w:eastAsiaTheme="minorHAnsi"/>
          <w:lang w:eastAsia="en-US"/>
        </w:rPr>
        <w:t xml:space="preserve">муниципальными котельными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, 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 расчетных элементах территориального деления за отопительный период и отчетный (базовый)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 в целом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tbl>
      <w:tblPr>
        <w:tblW w:w="4975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2662"/>
        <w:gridCol w:w="966"/>
        <w:gridCol w:w="966"/>
        <w:gridCol w:w="966"/>
        <w:gridCol w:w="965"/>
        <w:gridCol w:w="965"/>
        <w:gridCol w:w="965"/>
        <w:gridCol w:w="965"/>
        <w:gridCol w:w="965"/>
        <w:gridCol w:w="965"/>
        <w:gridCol w:w="965"/>
        <w:gridCol w:w="965"/>
        <w:gridCol w:w="965"/>
        <w:gridCol w:w="1030"/>
      </w:tblGrid>
      <w:tr>
        <w:tblPrEx/>
        <w:trPr>
          <w:trHeight w:val="278"/>
        </w:trPr>
        <w:tc>
          <w:tcPr>
            <w:tcW w:w="871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Наименование параметра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gridSpan w:val="13"/>
            <w:tcW w:w="4129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Выработка тепловой энергии муниципальными котельными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77"/>
        </w:trPr>
        <w:tc>
          <w:tcPr>
            <w:tcW w:w="871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Месяц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I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II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III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IV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V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VI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VII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VIII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IX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X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XI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XII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337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202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год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871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Средняя температура наружного воздуха,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-1</w:t>
            </w:r>
            <w:r>
              <w:rPr>
                <w:sz w:val="22"/>
                <w:szCs w:val="22"/>
              </w:rPr>
              <w:t xml:space="preserve">6</w:t>
            </w:r>
            <w:r>
              <w:rPr>
                <w:sz w:val="22"/>
                <w:szCs w:val="22"/>
              </w:rPr>
              <w:t xml:space="preserve">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  <w:t xml:space="preserve">17,3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  <w:t xml:space="preserve">3,7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  <w:t xml:space="preserve">4,3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-1</w:t>
            </w:r>
            <w:r>
              <w:rPr>
                <w:sz w:val="22"/>
                <w:szCs w:val="22"/>
              </w:rPr>
              <w:t xml:space="preserve">1,5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3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/>
        <w:tc>
          <w:tcPr>
            <w:tcW w:w="871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Количество тепловой энергии, выработанной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котельной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№1 (ТКСИ) в кадастровом квартале 38:29:011618, Гкал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14 839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12 754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10 955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9 975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5 286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3 329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2 352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2 304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5 662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 </w:t>
            </w:r>
            <w:r>
              <w:rPr>
                <w:sz w:val="22"/>
                <w:szCs w:val="22"/>
              </w:rPr>
              <w:t xml:space="preserve">693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10 446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12 226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3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99 821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/>
        <w:tc>
          <w:tcPr>
            <w:tcW w:w="871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Количество тепловой энергии, выработанной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котельной №2 (ШПЗ) 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в кадастровом квартале 38:29:011608, Гкал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17 539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15 745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13 531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13 243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6 687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2 350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</w:t>
            </w:r>
            <w:r>
              <w:rPr>
                <w:sz w:val="22"/>
                <w:szCs w:val="22"/>
              </w:rPr>
              <w:t xml:space="preserve">396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r>
              <w:rPr>
                <w:sz w:val="22"/>
                <w:szCs w:val="22"/>
              </w:rPr>
              <w:t xml:space="preserve">342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5 750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 </w:t>
            </w:r>
            <w:r>
              <w:rPr>
                <w:sz w:val="22"/>
                <w:szCs w:val="22"/>
              </w:rPr>
              <w:t xml:space="preserve">980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 </w:t>
            </w:r>
            <w:r>
              <w:rPr>
                <w:sz w:val="22"/>
                <w:szCs w:val="22"/>
              </w:rPr>
              <w:t xml:space="preserve">156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15 067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3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119 786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/>
        <w:tc>
          <w:tcPr>
            <w:tcW w:w="871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Количество тепловой энергии, выработанной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котельной № 3 (Мелькомбинат)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кадастровом квартале 38:29:020603, Гкал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r>
              <w:rPr>
                <w:sz w:val="22"/>
                <w:szCs w:val="22"/>
              </w:rPr>
              <w:t xml:space="preserve">369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r>
              <w:rPr>
                <w:sz w:val="22"/>
                <w:szCs w:val="22"/>
              </w:rPr>
              <w:t xml:space="preserve">349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1 0</w:t>
            </w:r>
            <w:r>
              <w:rPr>
                <w:sz w:val="22"/>
                <w:szCs w:val="22"/>
              </w:rPr>
              <w:t xml:space="preserve">30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</w:t>
            </w:r>
            <w:r>
              <w:rPr>
                <w:sz w:val="22"/>
                <w:szCs w:val="22"/>
              </w:rPr>
              <w:t xml:space="preserve">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294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r>
              <w:rPr>
                <w:sz w:val="22"/>
                <w:szCs w:val="22"/>
              </w:rPr>
              <w:t xml:space="preserve">082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r>
              <w:rPr>
                <w:sz w:val="22"/>
                <w:szCs w:val="22"/>
              </w:rPr>
              <w:t xml:space="preserve">430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3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 </w:t>
            </w:r>
            <w:r>
              <w:rPr>
                <w:sz w:val="22"/>
                <w:szCs w:val="22"/>
              </w:rPr>
              <w:t xml:space="preserve">463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/>
        <w:tc>
          <w:tcPr>
            <w:tcW w:w="871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Количество тепловой энергии, выработанной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котельной № 4 (Экспедиция 5)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в кадастровом квартале 38:29:020243, Гкал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</w:t>
            </w:r>
            <w:r>
              <w:rPr>
                <w:sz w:val="22"/>
                <w:szCs w:val="22"/>
              </w:rPr>
              <w:t xml:space="preserve">66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608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295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598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</w:t>
            </w:r>
            <w:r>
              <w:rPr>
                <w:sz w:val="22"/>
                <w:szCs w:val="22"/>
              </w:rPr>
              <w:t xml:space="preserve">21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3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</w:t>
            </w:r>
            <w:r>
              <w:rPr>
                <w:sz w:val="22"/>
                <w:szCs w:val="22"/>
              </w:rPr>
              <w:t xml:space="preserve">809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/>
        <w:tc>
          <w:tcPr>
            <w:tcW w:w="871" w:type="pct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Количество тепловой энергии, выработанной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котельной № 5 (Совхоз)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кадастровом квартале 38:29:011701, Гкал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1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3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r>
              <w:rPr>
                <w:sz w:val="22"/>
                <w:szCs w:val="22"/>
              </w:rPr>
              <w:t xml:space="preserve">535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rPr>
          <w:rFonts w:eastAsiaTheme="minorEastAsia"/>
          <w:shd w:val="clear" w:color="auto" w:fill="ffffff"/>
        </w:rPr>
        <w:sectPr>
          <w:footnotePr/>
          <w:endnotePr/>
          <w:type w:val="nextPage"/>
          <w:pgSz w:w="16838" w:h="11906" w:orient="landscape"/>
          <w:pgMar w:top="567" w:right="851" w:bottom="851" w:left="851" w:header="340" w:footer="0" w:gutter="0"/>
          <w:cols w:num="1" w:sep="0" w:space="708" w:equalWidth="1"/>
          <w:docGrid w:linePitch="360"/>
          <w:titlePg/>
        </w:sectPr>
      </w:pP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right"/>
        <w:rPr>
          <w:rFonts w:eastAsiaTheme="minorHAnsi"/>
          <w:spacing w:val="1"/>
          <w:shd w:val="clear" w:color="auto" w:fill="ffffff"/>
          <w:lang w:eastAsia="en-US"/>
        </w:rPr>
      </w:pPr>
      <w:r>
        <w:rPr>
          <w:rFonts w:eastAsiaTheme="minorEastAsia"/>
          <w:shd w:val="clear" w:color="auto" w:fill="ffffff"/>
        </w:rPr>
        <w:t xml:space="preserve">Таблица 24.1</w:t>
      </w:r>
      <w:r>
        <w:rPr>
          <w:rFonts w:eastAsiaTheme="minorHAnsi"/>
          <w:spacing w:val="1"/>
          <w:shd w:val="clear" w:color="auto" w:fill="ffffff"/>
          <w:lang w:eastAsia="en-US"/>
        </w:rPr>
      </w:r>
      <w:r>
        <w:rPr>
          <w:rFonts w:eastAsiaTheme="minorHAnsi"/>
          <w:spacing w:val="1"/>
          <w:shd w:val="clear" w:color="auto" w:fill="ffffff"/>
          <w:lang w:eastAsia="en-US"/>
        </w:rPr>
      </w:r>
    </w:p>
    <w:p>
      <w:pPr>
        <w:jc w:val="center"/>
        <w:rPr>
          <w:rFonts w:eastAsiaTheme="minorHAnsi"/>
          <w:spacing w:val="1"/>
          <w:shd w:val="clear" w:color="auto" w:fill="ffffff"/>
          <w:lang w:eastAsia="en-US"/>
        </w:rPr>
      </w:pPr>
      <w:r>
        <w:rPr>
          <w:rFonts w:eastAsiaTheme="minorHAnsi"/>
          <w:spacing w:val="1"/>
          <w:shd w:val="clear" w:color="auto" w:fill="ffffff"/>
          <w:lang w:eastAsia="en-US"/>
        </w:rPr>
        <w:t xml:space="preserve">Значения потребления тепловой энергии по котельным</w:t>
      </w:r>
      <w:r>
        <w:rPr>
          <w:rFonts w:eastAsiaTheme="minorHAnsi"/>
          <w:spacing w:val="1"/>
          <w:shd w:val="clear" w:color="auto" w:fill="ffffff"/>
          <w:lang w:eastAsia="en-US"/>
        </w:rPr>
      </w:r>
      <w:r>
        <w:rPr>
          <w:rFonts w:eastAsiaTheme="minorHAnsi"/>
          <w:spacing w:val="1"/>
          <w:shd w:val="clear" w:color="auto" w:fill="ffffff"/>
          <w:lang w:eastAsia="en-US"/>
        </w:rPr>
      </w:r>
    </w:p>
    <w:p>
      <w:pPr>
        <w:jc w:val="center"/>
        <w:rPr>
          <w:rFonts w:eastAsiaTheme="minorHAnsi"/>
          <w:spacing w:val="1"/>
          <w:shd w:val="clear" w:color="auto" w:fill="ffffff"/>
          <w:lang w:eastAsia="en-US"/>
        </w:rPr>
      </w:pPr>
      <w:r>
        <w:rPr>
          <w:rFonts w:eastAsiaTheme="minorHAnsi"/>
          <w:spacing w:val="1"/>
          <w:shd w:val="clear" w:color="auto" w:fill="ffffff"/>
          <w:lang w:eastAsia="en-US"/>
        </w:rPr>
        <w:t xml:space="preserve"> ОП «ТТС» АО «Байкалэнерго» в расчетных элементах территориального деления </w:t>
      </w:r>
      <w:r>
        <w:rPr>
          <w:rFonts w:eastAsiaTheme="minorHAnsi"/>
          <w:spacing w:val="1"/>
          <w:shd w:val="clear" w:color="auto" w:fill="ffffff"/>
          <w:lang w:eastAsia="en-US"/>
        </w:rPr>
      </w:r>
      <w:r>
        <w:rPr>
          <w:rFonts w:eastAsiaTheme="minorHAnsi"/>
          <w:spacing w:val="1"/>
          <w:shd w:val="clear" w:color="auto" w:fill="ffffff"/>
          <w:lang w:eastAsia="en-US"/>
        </w:rPr>
      </w:r>
    </w:p>
    <w:p>
      <w:pPr>
        <w:jc w:val="center"/>
        <w:rPr>
          <w:rFonts w:eastAsiaTheme="minorHAnsi"/>
          <w:spacing w:val="1"/>
          <w:shd w:val="clear" w:color="auto" w:fill="ffffff"/>
          <w:lang w:eastAsia="en-US"/>
        </w:rPr>
      </w:pPr>
      <w:r>
        <w:rPr>
          <w:rFonts w:eastAsiaTheme="minorHAnsi"/>
          <w:spacing w:val="1"/>
          <w:shd w:val="clear" w:color="auto" w:fill="ffffff"/>
          <w:lang w:eastAsia="en-US"/>
        </w:rPr>
        <w:t xml:space="preserve">за отопительный период и за год в целом </w:t>
      </w:r>
      <w:r>
        <w:rPr>
          <w:rFonts w:eastAsiaTheme="minorHAnsi"/>
          <w:spacing w:val="1"/>
          <w:shd w:val="clear" w:color="auto" w:fill="ffffff"/>
          <w:lang w:eastAsia="en-US"/>
        </w:rPr>
        <w:t xml:space="preserve">Актуализация схемы теплоснабжения Тайшетского городского поселения на 2024 год выполнена и утверждена постановлением администрации Тайшетского городского поселения от 01 декабря 2023 года №1093.</w:t>
      </w:r>
      <w:r>
        <w:rPr>
          <w:rFonts w:eastAsiaTheme="minorHAnsi"/>
          <w:spacing w:val="1"/>
          <w:shd w:val="clear" w:color="auto" w:fill="ffffff"/>
          <w:lang w:eastAsia="en-US"/>
        </w:rPr>
      </w:r>
      <w:r>
        <w:rPr>
          <w:rFonts w:eastAsiaTheme="minorHAnsi"/>
          <w:spacing w:val="1"/>
          <w:shd w:val="clear" w:color="auto" w:fill="ffffff"/>
          <w:lang w:eastAsia="en-US"/>
        </w:rPr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836"/>
        <w:gridCol w:w="2831"/>
        <w:gridCol w:w="2419"/>
      </w:tblGrid>
      <w:tr>
        <w:tblPrEx/>
        <w:trPr>
          <w:jc w:val="center"/>
          <w:trHeight w:val="322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</w:tcBorders>
            <w:tcW w:w="383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Муниципальное образование</w:t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525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Потребление тепловой энергии,  тысяч Гкал</w:t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</w:tr>
      <w:tr>
        <w:tblPrEx/>
        <w:trPr>
          <w:jc w:val="center"/>
          <w:trHeight w:val="323" w:hRule="exact"/>
        </w:trPr>
        <w:tc>
          <w:tcPr>
            <w:shd w:val="clear" w:color="auto" w:fill="ffffff"/>
            <w:tcBorders>
              <w:left w:val="single" w:color="auto" w:sz="4" w:space="0"/>
            </w:tcBorders>
            <w:tcW w:w="383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</w:tcBorders>
            <w:tcW w:w="2831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за отопительный период </w:t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2419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за год в целом</w:t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</w:tr>
      <w:tr>
        <w:tblPrEx/>
        <w:trPr>
          <w:jc w:val="center"/>
          <w:trHeight w:val="285" w:hRule="exact"/>
        </w:trPr>
        <w:tc>
          <w:tcPr>
            <w:gridSpan w:val="3"/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086" w:type="dxa"/>
            <w:vAlign w:val="center"/>
            <w:textDirection w:val="lrTb"/>
            <w:noWrap w:val="false"/>
          </w:tcPr>
          <w:p>
            <w:pPr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Тайшетское городское поселение</w:t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</w:tr>
      <w:tr>
        <w:tblPrEx/>
        <w:trPr>
          <w:jc w:val="center"/>
          <w:trHeight w:val="351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W w:w="3836" w:type="dxa"/>
            <w:vAlign w:val="center"/>
            <w:textDirection w:val="lrTb"/>
            <w:noWrap w:val="false"/>
          </w:tcPr>
          <w:p>
            <w:pPr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2020 факт</w:t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W w:w="2831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174,983</w:t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9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180,524</w:t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</w:tr>
      <w:tr>
        <w:tblPrEx/>
        <w:trPr>
          <w:jc w:val="center"/>
          <w:trHeight w:val="351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W w:w="3836" w:type="dxa"/>
            <w:vAlign w:val="center"/>
            <w:textDirection w:val="lrTb"/>
            <w:noWrap w:val="false"/>
          </w:tcPr>
          <w:p>
            <w:pPr>
              <w:spacing w:after="200" w:line="276" w:lineRule="auto"/>
              <w:rPr>
                <w:rFonts w:eastAsia="Calibri"/>
                <w:sz w:val="22"/>
                <w:vertAlign w:val="superscript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2021 факт</w:t>
            </w:r>
            <w:r>
              <w:rPr>
                <w:rFonts w:eastAsia="Calibri"/>
                <w:sz w:val="22"/>
                <w:vertAlign w:val="superscript"/>
                <w:lang w:eastAsia="en-US"/>
              </w:rPr>
            </w:r>
            <w:r>
              <w:rPr>
                <w:rFonts w:eastAsia="Calibri"/>
                <w:sz w:val="22"/>
                <w:vertAlign w:val="superscript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W w:w="2831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170,873</w:t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9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177,412</w:t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</w:tr>
      <w:tr>
        <w:tblPrEx/>
        <w:trPr>
          <w:jc w:val="center"/>
          <w:trHeight w:val="351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W w:w="3836" w:type="dxa"/>
            <w:vAlign w:val="center"/>
            <w:textDirection w:val="lrTb"/>
            <w:noWrap w:val="false"/>
          </w:tcPr>
          <w:p>
            <w:pPr>
              <w:spacing w:after="200" w:line="276" w:lineRule="auto"/>
              <w:rPr>
                <w:rFonts w:eastAsia="Calibri"/>
                <w:sz w:val="22"/>
                <w:vertAlign w:val="superscript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2022 факт</w:t>
            </w:r>
            <w:r>
              <w:rPr>
                <w:rFonts w:eastAsia="Calibri"/>
                <w:sz w:val="22"/>
                <w:vertAlign w:val="superscript"/>
                <w:lang w:eastAsia="en-US"/>
              </w:rPr>
            </w:r>
            <w:r>
              <w:rPr>
                <w:rFonts w:eastAsia="Calibri"/>
                <w:sz w:val="22"/>
                <w:vertAlign w:val="superscript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W w:w="2831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178,992</w:t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9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184,031</w:t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</w:tr>
      <w:tr>
        <w:tblPrEx/>
        <w:trPr>
          <w:jc w:val="center"/>
          <w:trHeight w:val="351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W w:w="3836" w:type="dxa"/>
            <w:vAlign w:val="center"/>
            <w:textDirection w:val="lrTb"/>
            <w:noWrap w:val="false"/>
          </w:tcPr>
          <w:p>
            <w:pPr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val="en-US" w:eastAsia="en-US"/>
              </w:rPr>
              <w:t xml:space="preserve">2023 </w:t>
            </w:r>
            <w:r>
              <w:rPr>
                <w:rFonts w:eastAsia="Calibri"/>
                <w:sz w:val="22"/>
                <w:lang w:eastAsia="en-US"/>
              </w:rPr>
              <w:t xml:space="preserve">факт</w:t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W w:w="2831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176,126</w:t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9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182,822</w:t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</w:tr>
      <w:tr>
        <w:tblPrEx/>
        <w:trPr>
          <w:jc w:val="center"/>
          <w:trHeight w:val="351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W w:w="3836" w:type="dxa"/>
            <w:vAlign w:val="center"/>
            <w:textDirection w:val="lrTb"/>
            <w:noWrap w:val="false"/>
          </w:tcPr>
          <w:p>
            <w:pPr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2024 </w:t>
            </w:r>
            <w:r>
              <w:rPr>
                <w:rFonts w:eastAsia="Calibri"/>
                <w:sz w:val="22"/>
                <w:lang w:eastAsia="en-US"/>
              </w:rPr>
              <w:t xml:space="preserve">факт</w:t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W w:w="2831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177,161</w:t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9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182,908</w:t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</w:tr>
      <w:tr>
        <w:tblPrEx/>
        <w:trPr>
          <w:jc w:val="center"/>
          <w:trHeight w:val="351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W w:w="3836" w:type="dxa"/>
            <w:vAlign w:val="center"/>
            <w:textDirection w:val="lrTb"/>
            <w:noWrap w:val="false"/>
          </w:tcPr>
          <w:p>
            <w:pPr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2025 план</w:t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W w:w="2831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17</w:t>
            </w:r>
            <w:r>
              <w:rPr>
                <w:rFonts w:eastAsia="Calibri"/>
                <w:sz w:val="22"/>
                <w:lang w:eastAsia="en-US"/>
              </w:rPr>
              <w:t xml:space="preserve">7</w:t>
            </w:r>
            <w:r>
              <w:rPr>
                <w:rFonts w:eastAsia="Calibri"/>
                <w:sz w:val="22"/>
                <w:lang w:eastAsia="en-US"/>
              </w:rPr>
              <w:t xml:space="preserve">,</w:t>
            </w:r>
            <w:r>
              <w:rPr>
                <w:rFonts w:eastAsia="Calibri"/>
                <w:sz w:val="22"/>
                <w:lang w:eastAsia="en-US"/>
              </w:rPr>
              <w:t xml:space="preserve">993</w:t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9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183,740</w:t>
            </w:r>
            <w:r>
              <w:rPr>
                <w:rFonts w:eastAsia="Calibri"/>
                <w:sz w:val="22"/>
                <w:lang w:eastAsia="en-US"/>
              </w:rPr>
            </w:r>
            <w:r>
              <w:rPr>
                <w:rFonts w:eastAsia="Calibri"/>
                <w:sz w:val="22"/>
                <w:lang w:eastAsia="en-US"/>
              </w:rPr>
            </w:r>
          </w:p>
        </w:tc>
      </w:tr>
    </w:tbl>
    <w:p>
      <w:pPr>
        <w:jc w:val="center"/>
        <w:rPr>
          <w:rFonts w:eastAsiaTheme="minorHAnsi"/>
          <w:spacing w:val="1"/>
          <w:shd w:val="clear" w:color="auto" w:fill="ffffff"/>
          <w:lang w:eastAsia="en-US"/>
        </w:rPr>
      </w:pPr>
      <w:r>
        <w:rPr>
          <w:rFonts w:eastAsiaTheme="minorHAnsi"/>
          <w:spacing w:val="1"/>
          <w:shd w:val="clear" w:color="auto" w:fill="ffffff"/>
          <w:lang w:eastAsia="en-US"/>
        </w:rPr>
      </w:r>
      <w:r>
        <w:rPr>
          <w:rFonts w:eastAsiaTheme="minorHAnsi"/>
          <w:spacing w:val="1"/>
          <w:shd w:val="clear" w:color="auto" w:fill="ffffff"/>
          <w:lang w:eastAsia="en-US"/>
        </w:rPr>
      </w:r>
      <w:r>
        <w:rPr>
          <w:rFonts w:eastAsiaTheme="minorHAnsi"/>
          <w:spacing w:val="1"/>
          <w:shd w:val="clear" w:color="auto" w:fill="ffffff"/>
          <w:lang w:eastAsia="en-US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Потребителями тепловой энергии, вырабатываемой муниципальными котельными Тайшетского городского поселения, являются многоквартирные дома, индивидуальные жилые дома и общественные здания, расположенные на территории Тайшетского городского поселения. 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Тепловая энергия, вырабатываемая </w:t>
      </w:r>
      <w:r>
        <w:rPr>
          <w:rFonts w:eastAsiaTheme="minorHAnsi"/>
          <w:lang w:eastAsia="en-US"/>
        </w:rPr>
        <w:t xml:space="preserve">муниципальными котельными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, используется потребителями на отопление и горячее водоснабжение.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Существующий норматив потребления тепловой энергии для населения на отопление при начислении платы равномерно в течение года: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Норматив потребления в МКД до 1999 года постройки (Гкал на 1 м2 общей площади жилого помещения в месяц) – 0,0234 Гкал/(м2</w:t>
      </w:r>
      <w:r>
        <w:rPr>
          <w:rFonts w:eastAsiaTheme="minorEastAsia"/>
          <w:shd w:val="clear" w:color="auto" w:fill="ffffff"/>
        </w:rPr>
        <w:t xml:space="preserve"> месяц);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Норматив потребления в МКД после 1999 года постройки: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2х этажные – 0,01185 Гкал/(м2 месяц);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3х этажные – 0,0129 Гкал/(м2 месяц);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4-5 этажные – 0,011025 Гкал/(м2*месяц)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Коэффициент нагрева: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открытая система теплоснабжения – 0,066 Гкал/м3,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закрытая система теплоснабжения (нецентрализованная система ГВС) – 0,0534 Гкал/м3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Нормативы потребления коммунальной услуги по горячему водоснабжению для населения утверждены Приказом Министерства жилищной политики, энергетик</w:t>
      </w:r>
      <w:r>
        <w:rPr>
          <w:rFonts w:eastAsiaTheme="minorEastAsia"/>
          <w:shd w:val="clear" w:color="auto" w:fill="ffffff"/>
        </w:rPr>
        <w:t xml:space="preserve">и и транспорта Иркутской области от 30 декабря 2016 года № 184-мпр «Об установлении и утверждении нормативов потребления коммунальных услуг по холодному (горячему) водоснабжению в жилых помещениях на территории Иркутской области» представлены в Таблице 25.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right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25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Норматив потребления коммунальной услуги горячего водоснабжения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 для населения Тайшетского городского поселения 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tbl>
      <w:tblPr>
        <w:tblW w:w="9498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954"/>
        <w:gridCol w:w="1276"/>
        <w:gridCol w:w="1701"/>
      </w:tblGrid>
      <w:tr>
        <w:tblPrEx/>
        <w:trPr>
          <w:tblHeader/>
        </w:trPr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№ п/п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Категория жилых помещений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Единица измерения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Норматив потребления коммунальной услуги горячего водоснабжения для населения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Многоквартирные и жилые дома с централизованным холодным и горячим водоснабжением, водоотведением,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оборудованные унитазами, раковинами, мойками, ваннами сидячими длиной 1200 мм с душем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месяц на человека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3,17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Многоквартирные и жилые дома с централизованным холодным и горячим водоснабжением, водоотведением, оборудованные унитазами, раковинами, мойками, ваннами длиной 1500 - 1550 мм с душем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месяц на человека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3,22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Многоквартирные и жилые дома с централизованным холодным и горячим водоснабжением, водоотведением, оборудованные унитазами, раковинами, мойками, ваннами длиной 1650 - 1700 мм с душем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месяц на человека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3,28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Многоквартирные и жилые дома с централизованным холодным и горячим водоснабжением, водоотведением, оборудованные унитазами, раковинами, мойками, ваннами без душа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месяц на человека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1,68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Многоквартирные и жилые дома с централизованным холодным и горячим водоснабжением, водоотведением, оборудованные унитазами, раковинами, мойками, душем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месяц на человека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2,62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Многоквартирные и жилые дома с централизованным холодным водоснабжением, водонагревателями, водоотведением, оборудованные унитазами, раковинами, мойками, душами и ваннами сидячими длиной 1200 мм с душем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месяц на человека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Х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Многоквартирные и жилые дома с централизованным холодным водоснабжением, водонагревателями, водоотведением, оборудованные унитазами, раковинами, мойками, душами и ваннами длиной 1500 – 1550 мм с душем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месяц на человека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Х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Многоквартирные и жилые дома с централизованным холодным водоснабжением, водонагревателями, водоотведением, оборудованные унитазами, раковинами, мойками, душами и ваннами длиной 1650 - 1700 мм с душем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месяц на человека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Х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Многоквартирные и жилые дома с централизованным холодным водоснабжением, водонагревателями, водоотведением, оборудованные унитазами, раковинами, мойками, душами и ваннами без душа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месяц на человека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Х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Многоквартирные и жилые дома с централизованным холодным водоснабжением, водонагревателями, водоотведением, оборудованные унитазами, раковинами, мойками, душами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месяц на человека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Х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Многоквартирные и жилые дома без водонагревателей с водопроводом и канализацией, оборудованные раковинами, мойками и унитазами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месяц на человека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Х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Многоквартирные и жилые дома без водонагревателей с централизованным холодным водоснабжением и водоотведением, оборудованные раковинами и мойками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месяц на человека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Х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Многоквартирные и жилые дома с централизованным холодным водоснабжением, без централизованного водоотведения, оборудованные умывальниками, мойками, унитазами, ваннами, душами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месяц на человека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Х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Многоквартирные и жилые дома с централизованным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холодным водоснабжением, без централизованного водоотведения, оборудованные умывальниками, мойками, унитазами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месяц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на человека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Х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Многоквартирные и жилые дома с водоразборной колонкой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месяц на человека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Х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Дома, использующиеся в качестве общежитий, оборудованные мойками, раковинами, унитазами, с душевыми с централизованным холодным и горячим водоснабжением, водоотведением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месяц на человека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1,90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Многоквартирные и жилые дома с централизованным холодным и горячим водоснабжением, водоотведением, оборудованные унитазами, раковинами, мойками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месяц на человека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1,23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Многоквартирные и жилые дома с централизованным холодным водоснабжением, водонагревателями, водоотведением, оборудованные унитазами, раковинами, мойками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месяц на человека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Х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Многоквартирные и жилые дома с централизованным холодным водоснабжением, водонагревателями, водоотведением, оборудованные унитазами, раковинами (или мойками)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месяц на человека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Х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Многоквартирные и жилые дома с централизованным холодным водоснабжением, без централизованного водоотведения, оборудованные мойками (или раковинами, умывальниками)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месяц на человека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Х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54" w:type="dxa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Многоквартирные и жилые дома с централизованным горячим и холодным водоснабжением, без централизованного водоотведения, оборудованные раковинами (мойками), унитазами, душами (ваннами)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в месяц на человека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2,15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</w:tbl>
    <w:p>
      <w:pPr>
        <w:jc w:val="center"/>
        <w:keepLines/>
        <w:keepNext/>
        <w:widowControl w:val="off"/>
        <w:rPr>
          <w:rFonts w:eastAsiaTheme="majorEastAsia"/>
          <w:bCs/>
          <w:shd w:val="clear" w:color="auto" w:fill="ffffff"/>
        </w:rPr>
      </w:pPr>
      <w:r/>
      <w:bookmarkStart w:id="66" w:name="_Toc149055596"/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</w:p>
    <w:p>
      <w:pPr>
        <w:jc w:val="center"/>
        <w:keepLines/>
        <w:keepNext/>
        <w:widowControl w:val="off"/>
        <w:rPr>
          <w:rFonts w:eastAsiaTheme="majorEastAsia"/>
          <w:bCs/>
          <w:shd w:val="clear" w:color="auto" w:fill="ffffff"/>
        </w:rPr>
      </w:pPr>
      <w:r>
        <w:rPr>
          <w:rFonts w:eastAsiaTheme="majorEastAsia"/>
          <w:bCs/>
          <w:shd w:val="clear" w:color="auto" w:fill="ffffff"/>
        </w:rPr>
        <w:t xml:space="preserve">Часть 6. Балансы тепловой мощности и тепловой нагрузки</w:t>
      </w:r>
      <w:bookmarkEnd w:id="66"/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</w:p>
    <w:p>
      <w:pPr>
        <w:jc w:val="center"/>
        <w:keepLines/>
        <w:keepNext/>
        <w:widowControl w:val="off"/>
        <w:rPr>
          <w:rFonts w:eastAsiaTheme="majorEastAsia"/>
          <w:bCs/>
          <w:shd w:val="clear" w:color="auto" w:fill="ffffff"/>
        </w:rPr>
      </w:pPr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Балансы установленной, располагаемой тепловой мощности и тепловой мощности нетто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, потерь тепловой мощности в тепловых сетях и расчетной тепловой нагрузки по котельным представлены в Таблице 26.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right"/>
        <w:tabs>
          <w:tab w:val="left" w:pos="993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right"/>
        <w:tabs>
          <w:tab w:val="left" w:pos="993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 Таблица 26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993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Балансы тепловой мощности и тепловых нагрузок </w:t>
      </w:r>
      <w:r>
        <w:rPr>
          <w:rFonts w:eastAsiaTheme="minorHAnsi"/>
          <w:lang w:eastAsia="en-US"/>
        </w:rPr>
        <w:t xml:space="preserve">котельных 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tabs>
          <w:tab w:val="left" w:pos="993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Тайшетского городского поселения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tbl>
      <w:tblPr>
        <w:tblW w:w="5000" w:type="pct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1509"/>
        <w:gridCol w:w="1153"/>
        <w:gridCol w:w="1152"/>
        <w:gridCol w:w="1152"/>
        <w:gridCol w:w="1152"/>
        <w:gridCol w:w="1152"/>
        <w:gridCol w:w="1152"/>
        <w:gridCol w:w="1148"/>
      </w:tblGrid>
      <w:tr>
        <w:tblPrEx/>
        <w:trPr/>
        <w:tc>
          <w:tcPr>
            <w:tcW w:w="788" w:type="pct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tabs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Наименование параметра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№1 (ТКСИ)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№2 (ШПЗ)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№3 (Мелькомбинат)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№4 (Экспедиция 5)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ind w:left="-88" w:right="-69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№5 (Совхоз)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ДТВ ОАО «РЖД»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602" w:type="pct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ПС-500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</w:tr>
      <w:tr>
        <w:tblPrEx/>
        <w:trPr/>
        <w:tc>
          <w:tcPr>
            <w:tcW w:w="788" w:type="pct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tabs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Установленная тепловая мощность, Гкал/час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7,4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15,48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0,86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788" w:type="pct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tabs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Располагаемая тепловая мощность, Гкал/час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39,2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7,4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1,075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10,3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0,86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788" w:type="pct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tabs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Затраты тепловой мощности на собственные и хозяйственные нужды, Гкал/час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2,33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2,31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0,35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0,02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0,06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0,282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0,017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788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Тепловая мощность нетто, Гкал/час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32,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36,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89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7,05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1,68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1,02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10,02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0,84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788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Потери тепловой мощности в тепловых сетях, Гкал/час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1,91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2,12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0,17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0,07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0,05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788" w:type="pct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Расчетная тепловая нагрузка, Гкал/час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24,65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33,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2,22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0,30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6,86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0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0,2596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</w:tbl>
    <w:p>
      <w:pPr>
        <w:ind w:firstLine="709"/>
        <w:jc w:val="both"/>
        <w:widowControl w:val="off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993" w:leader="none"/>
          <w:tab w:val="right" w:pos="9923" w:leader="dot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Балансы резервов и дефицитов тепловой мощности нетто по </w:t>
      </w:r>
      <w:r>
        <w:rPr>
          <w:rFonts w:eastAsiaTheme="minorHAnsi"/>
          <w:lang w:eastAsia="en-US"/>
        </w:rPr>
        <w:t xml:space="preserve">котельным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представлены в Таблице 27.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jc w:val="right"/>
        <w:tabs>
          <w:tab w:val="left" w:pos="993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27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993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Балансы резервов и дефицитов тепловой мощности 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993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нетто по </w:t>
      </w:r>
      <w:r>
        <w:rPr>
          <w:rFonts w:eastAsiaTheme="minorHAnsi"/>
          <w:lang w:eastAsia="en-US"/>
        </w:rPr>
        <w:t xml:space="preserve">котельным Тайшетского городского поселения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tbl>
      <w:tblPr>
        <w:tblW w:w="5092" w:type="pct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1134"/>
        <w:gridCol w:w="1134"/>
        <w:gridCol w:w="1123"/>
        <w:gridCol w:w="1164"/>
        <w:gridCol w:w="1164"/>
        <w:gridCol w:w="1164"/>
        <w:gridCol w:w="1162"/>
      </w:tblGrid>
      <w:tr>
        <w:tblPrEx/>
        <w:trPr>
          <w:trHeight w:val="291"/>
        </w:trPr>
        <w:tc>
          <w:tcPr>
            <w:tcW w:w="87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Наименование параметра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8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№1 (ТКСИ)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8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№2 (ШПЗ)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57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№3 (Мелькомбинат)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59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№4 (Экспедиция 5)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59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№5 (Совхоз)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597" w:type="pct"/>
            <w:textDirection w:val="lrTb"/>
            <w:noWrap w:val="false"/>
          </w:tcPr>
          <w:p>
            <w:pPr>
              <w:ind w:left="-57" w:right="-57"/>
              <w:jc w:val="center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ДТВ ОАО «РЖД»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596" w:type="pct"/>
            <w:textDirection w:val="lrTb"/>
            <w:noWrap w:val="false"/>
          </w:tcPr>
          <w:p>
            <w:pPr>
              <w:ind w:left="-57" w:right="-57"/>
              <w:jc w:val="center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ПС-500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</w:tr>
      <w:tr>
        <w:tblPrEx/>
        <w:trPr/>
        <w:tc>
          <w:tcPr>
            <w:tcW w:w="873" w:type="pct"/>
            <w:vAlign w:val="center"/>
            <w:textDirection w:val="lrTb"/>
            <w:noWrap w:val="false"/>
          </w:tcPr>
          <w:p>
            <w:pPr>
              <w:ind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Резерв тепловой мощности нетто, Гкал/час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8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5,91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8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,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7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4,45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9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0,11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0,65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2,778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0,5334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873" w:type="pct"/>
            <w:vAlign w:val="center"/>
            <w:textDirection w:val="lrTb"/>
            <w:noWrap w:val="false"/>
          </w:tcPr>
          <w:p>
            <w:pPr>
              <w:ind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Дефицит тепловой мощности нетто, Гкал/час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8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8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7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873" w:type="pct"/>
            <w:vAlign w:val="center"/>
            <w:textDirection w:val="lrTb"/>
            <w:noWrap w:val="false"/>
          </w:tcPr>
          <w:p>
            <w:pPr>
              <w:ind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Тепловая нагрузка по действующим техническим условиям, Гкал/ч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8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7,6382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8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0,79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7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9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873" w:type="pct"/>
            <w:vAlign w:val="center"/>
            <w:textDirection w:val="lrTb"/>
            <w:noWrap w:val="false"/>
          </w:tcPr>
          <w:p>
            <w:pPr>
              <w:ind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Резерв тепловой мощности нетто с учетом действующих технических условий, Гкал/час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8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-1,7282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8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0,22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7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  <w:t xml:space="preserve">4,45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  <w:lang w:val="en-US"/>
              </w:rPr>
            </w:r>
          </w:p>
        </w:tc>
        <w:tc>
          <w:tcPr>
            <w:tcW w:w="59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0,11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0,65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2,778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59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0,5334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</w:tbl>
    <w:p>
      <w:pPr>
        <w:ind w:firstLine="709"/>
        <w:jc w:val="both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993" w:leader="none"/>
          <w:tab w:val="right" w:pos="9923" w:leader="dot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Гидравлические режимы, обеспечивающие передачу тепловой энергии от </w:t>
      </w:r>
      <w:r>
        <w:rPr>
          <w:rFonts w:eastAsiaTheme="minorHAnsi"/>
          <w:lang w:eastAsia="en-US"/>
        </w:rPr>
        <w:t xml:space="preserve">муниципальных 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до самого удаленного потребителя тепловой энергии, представлены в Таблице 28.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jc w:val="right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right"/>
        <w:tabs>
          <w:tab w:val="left" w:pos="993" w:leader="none"/>
          <w:tab w:val="right" w:pos="9923" w:leader="dot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28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jc w:val="center"/>
        <w:tabs>
          <w:tab w:val="left" w:pos="993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Гидравлические режимы, обеспечивающие передачу тепловой энергии от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до самого удаленного потребителя тепловой энергии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tbl>
      <w:tblPr>
        <w:tblW w:w="9498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1701"/>
        <w:gridCol w:w="1984"/>
        <w:gridCol w:w="2552"/>
      </w:tblGrid>
      <w:tr>
        <w:tblPrEx/>
        <w:trPr>
          <w:trHeight w:val="20"/>
        </w:trPr>
        <w:tc>
          <w:tcPr>
            <w:tcW w:w="326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Наименование котельной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Тип трубопровода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98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Давление сетевой воды в начале тепловой сети, 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Давление сетевой воды в конце тепловой сети (самый удаленный потребитель), 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61" w:type="dxa"/>
            <w:vAlign w:val="center"/>
            <w:vMerge w:val="restart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№1 (ТКСИ)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Подающий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98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46,3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61" w:type="dxa"/>
            <w:vAlign w:val="center"/>
            <w:vMerge w:val="continue"/>
            <w:textDirection w:val="lrTb"/>
            <w:noWrap w:val="false"/>
          </w:tcPr>
          <w:p>
            <w:pPr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Обратный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98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24,2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61" w:type="dxa"/>
            <w:vAlign w:val="center"/>
            <w:vMerge w:val="restart"/>
            <w:textDirection w:val="lrTb"/>
            <w:noWrap w:val="false"/>
          </w:tcPr>
          <w:p>
            <w:pPr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№2 (ШПЗ)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Подающий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98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72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51,5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61" w:type="dxa"/>
            <w:vAlign w:val="center"/>
            <w:vMerge w:val="continue"/>
            <w:textDirection w:val="lrTb"/>
            <w:noWrap w:val="false"/>
          </w:tcPr>
          <w:p>
            <w:pPr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Обратный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98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46,5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61" w:type="dxa"/>
            <w:vAlign w:val="center"/>
            <w:vMerge w:val="restart"/>
            <w:textDirection w:val="lrTb"/>
            <w:noWrap w:val="false"/>
          </w:tcPr>
          <w:p>
            <w:pPr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№3 (Мелькомбинат)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Подающий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98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61" w:type="dxa"/>
            <w:vAlign w:val="center"/>
            <w:vMerge w:val="continue"/>
            <w:textDirection w:val="lrTb"/>
            <w:noWrap w:val="false"/>
          </w:tcPr>
          <w:p>
            <w:pPr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Обратный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98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61" w:type="dxa"/>
            <w:vAlign w:val="center"/>
            <w:vMerge w:val="restart"/>
            <w:textDirection w:val="lrTb"/>
            <w:noWrap w:val="false"/>
          </w:tcPr>
          <w:p>
            <w:pPr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№4 (Экспедиция 5)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Подающий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98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61" w:type="dxa"/>
            <w:vAlign w:val="center"/>
            <w:vMerge w:val="continue"/>
            <w:textDirection w:val="lrTb"/>
            <w:noWrap w:val="false"/>
          </w:tcPr>
          <w:p>
            <w:pPr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Обратный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98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31,5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61" w:type="dxa"/>
            <w:vAlign w:val="center"/>
            <w:vMerge w:val="restart"/>
            <w:textDirection w:val="lrTb"/>
            <w:noWrap w:val="false"/>
          </w:tcPr>
          <w:p>
            <w:pPr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№5 (Совхоз)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Подающий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98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61" w:type="dxa"/>
            <w:vAlign w:val="center"/>
            <w:vMerge w:val="continue"/>
            <w:textDirection w:val="lrTb"/>
            <w:noWrap w:val="false"/>
          </w:tcPr>
          <w:p>
            <w:pPr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Обратный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98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61" w:type="dxa"/>
            <w:vAlign w:val="center"/>
            <w:vMerge w:val="restart"/>
            <w:textDirection w:val="lrTb"/>
            <w:noWrap w:val="false"/>
          </w:tcPr>
          <w:p>
            <w:pPr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ДТВ ОАО «РЖД»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Подающий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98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61" w:type="dxa"/>
            <w:vAlign w:val="center"/>
            <w:vMerge w:val="continue"/>
            <w:textDirection w:val="lrTb"/>
            <w:noWrap w:val="false"/>
          </w:tcPr>
          <w:p>
            <w:pPr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Обратный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98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61" w:type="dxa"/>
            <w:vAlign w:val="center"/>
            <w:vMerge w:val="restart"/>
            <w:textDirection w:val="lrTb"/>
            <w:noWrap w:val="false"/>
          </w:tcPr>
          <w:p>
            <w:pPr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ПС-500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Подающий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98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Нет данных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Нет данных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6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Обратный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98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Нет данных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55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Нет данных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</w:tbl>
    <w:p>
      <w:pPr>
        <w:ind w:firstLine="709"/>
        <w:jc w:val="both"/>
        <w:shd w:val="clear" w:color="auto" w:fill="ffffff"/>
        <w:widowControl w:val="off"/>
        <w:rPr>
          <w:rFonts w:eastAsiaTheme="minorEastAsia"/>
          <w:spacing w:val="1"/>
        </w:rPr>
      </w:pPr>
      <w:r>
        <w:rPr>
          <w:rFonts w:eastAsiaTheme="minorEastAsia"/>
          <w:spacing w:val="1"/>
          <w:highlight w:val="none"/>
          <w:shd w:val="clear" w:color="auto" w:fill="ffffff"/>
        </w:rPr>
      </w:r>
      <w:r>
        <w:rPr>
          <w:rFonts w:eastAsiaTheme="minorEastAsia"/>
          <w:spacing w:val="1"/>
        </w:rPr>
      </w:r>
      <w:r>
        <w:rPr>
          <w:rFonts w:eastAsiaTheme="minorEastAsia"/>
          <w:spacing w:val="1"/>
        </w:rPr>
      </w:r>
    </w:p>
    <w:p>
      <w:pPr>
        <w:ind w:firstLine="709"/>
        <w:jc w:val="both"/>
        <w:shd w:val="clear" w:color="auto" w:fill="ffffff"/>
        <w:widowControl w:val="off"/>
        <w:rPr>
          <w:rFonts w:eastAsiaTheme="minorEastAsia"/>
          <w:spacing w:val="1"/>
          <w:highlight w:val="none"/>
          <w:shd w:val="clear" w:color="auto" w:fill="ffffff"/>
        </w:rPr>
      </w:pPr>
      <w:r>
        <w:rPr>
          <w:rFonts w:eastAsiaTheme="minorEastAsia"/>
          <w:spacing w:val="1"/>
          <w:shd w:val="clear" w:color="auto" w:fill="ffffff"/>
        </w:rPr>
        <w:t xml:space="preserve">По состоянию на базовый 202</w:t>
      </w:r>
      <w:r>
        <w:rPr>
          <w:rFonts w:eastAsiaTheme="minorEastAsia"/>
          <w:spacing w:val="1"/>
          <w:shd w:val="clear" w:color="auto" w:fill="ffffff"/>
        </w:rPr>
        <w:t xml:space="preserve">4</w:t>
      </w:r>
      <w:r>
        <w:rPr>
          <w:rFonts w:eastAsiaTheme="minorEastAsia"/>
          <w:spacing w:val="1"/>
          <w:shd w:val="clear" w:color="auto" w:fill="ffffff"/>
        </w:rPr>
        <w:t xml:space="preserve"> год на котельных №1, №2, №3, №4, №5 отсутствует дефицит тепловой мощности при существующих присоединенных нагрузках.</w:t>
      </w:r>
      <w:r>
        <w:rPr>
          <w:rFonts w:eastAsiaTheme="minorEastAsia"/>
          <w:spacing w:val="1"/>
          <w:highlight w:val="none"/>
          <w:shd w:val="clear" w:color="auto" w:fill="ffffff"/>
        </w:rPr>
      </w:r>
      <w:r>
        <w:rPr>
          <w:rFonts w:eastAsiaTheme="minorEastAsia"/>
          <w:spacing w:val="1"/>
          <w:highlight w:val="none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rFonts w:eastAsiaTheme="minorEastAsia"/>
          <w:spacing w:val="1"/>
          <w:shd w:val="clear" w:color="auto" w:fill="ffffff"/>
        </w:rPr>
      </w:pPr>
      <w:r>
        <w:rPr>
          <w:rFonts w:eastAsiaTheme="minorEastAsia"/>
          <w:spacing w:val="1"/>
          <w:shd w:val="clear" w:color="auto" w:fill="ffffff"/>
        </w:rPr>
        <w:t xml:space="preserve">По состоянию на базовый 202</w:t>
      </w:r>
      <w:r>
        <w:rPr>
          <w:rFonts w:eastAsiaTheme="minorEastAsia"/>
          <w:spacing w:val="1"/>
          <w:shd w:val="clear" w:color="auto" w:fill="ffffff"/>
        </w:rPr>
        <w:t xml:space="preserve">4</w:t>
      </w:r>
      <w:r>
        <w:rPr>
          <w:rFonts w:eastAsiaTheme="minorEastAsia"/>
          <w:spacing w:val="1"/>
          <w:shd w:val="clear" w:color="auto" w:fill="ffffff"/>
        </w:rPr>
        <w:t xml:space="preserve"> год имеющийся резерв по котельной №1 не может обеспечить подключение полного объема перспективной нагрузки по заявкам, поданным на подключение, и запросам технической возможности подключения.</w:t>
      </w:r>
      <w:r>
        <w:rPr>
          <w:rFonts w:eastAsiaTheme="minorEastAsia"/>
          <w:spacing w:val="1"/>
          <w:shd w:val="clear" w:color="auto" w:fill="ffffff"/>
        </w:rPr>
      </w:r>
      <w:r>
        <w:rPr>
          <w:rFonts w:eastAsiaTheme="minorEastAsia"/>
          <w:spacing w:val="1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Для осуществления резервирования тепловой мощности котельной №2 (ШПЗ) необходимо: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shd w:val="clear" w:color="auto" w:fill="ffffff"/>
        <w:widowControl w:val="off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1. Строительство перемычки между зонами действия котельной № 1 (ТКСИ) и зонами действия котельной № 2 (ШПЗ).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2. Использование существующей свободной установленной мощности электрокотельной ДТВ ОАО «РЖД» в целях резервирования для котельной №2 (ШПЗ).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3. Техническое перевооружение котла КЕ-10-14С станционный № 1 для восстановления установленной мощности котельной № 2 (ШПЗ).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keepLines/>
        <w:keepNext/>
        <w:widowControl w:val="off"/>
        <w:rPr>
          <w:rFonts w:eastAsiaTheme="majorEastAsia"/>
          <w:bCs/>
          <w:shd w:val="clear" w:color="auto" w:fill="ffffff"/>
        </w:rPr>
      </w:pPr>
      <w:r/>
      <w:bookmarkStart w:id="67" w:name="_Toc149055597"/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</w:p>
    <w:p>
      <w:pPr>
        <w:jc w:val="center"/>
        <w:keepLines/>
        <w:keepNext/>
        <w:widowControl w:val="off"/>
        <w:rPr>
          <w:rFonts w:eastAsiaTheme="majorEastAsia"/>
          <w:bCs/>
          <w:shd w:val="clear" w:color="auto" w:fill="ffffff"/>
        </w:rPr>
      </w:pPr>
      <w:r>
        <w:rPr>
          <w:rFonts w:eastAsiaTheme="majorEastAsia"/>
          <w:bCs/>
          <w:shd w:val="clear" w:color="auto" w:fill="ffffff"/>
        </w:rPr>
        <w:t xml:space="preserve">Часть 7. Балансы теплоносителя</w:t>
      </w:r>
      <w:bookmarkEnd w:id="67"/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</w:p>
    <w:p>
      <w:pPr>
        <w:jc w:val="center"/>
        <w:keepLines/>
        <w:keepNext/>
        <w:widowControl w:val="off"/>
        <w:rPr>
          <w:rFonts w:eastAsiaTheme="majorEastAsia"/>
          <w:bCs/>
          <w:shd w:val="clear" w:color="auto" w:fill="ffffff"/>
        </w:rPr>
      </w:pPr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Перспективные зоны действия муниципальных котельных Тайшетского городского поселения к 2041 году будут совпадать с существующими, по состоянию на отчетный (базовый)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год, зонами действия муниципальных котельных.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Водоподготовительными установками оснащены все котельные. Информация об утвержденных балансах производ</w:t>
      </w:r>
      <w:r>
        <w:rPr>
          <w:rFonts w:eastAsiaTheme="minorEastAsia"/>
          <w:shd w:val="clear" w:color="auto" w:fill="ffffff"/>
        </w:rPr>
        <w:t xml:space="preserve">ительности водоподготовительных установок теплоносителя для тепловых сетей и максимального потребления теплоносителя в теплоиспользующих установках потребителей в перспективных зонах действия систем теплоснабжения и источников тепловой энергии отсутствуют.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Системы теплоснабжения котельных Тайшетского городского поселения являются закрытыми системами теплоснабжения, </w:t>
      </w:r>
      <w:r>
        <w:rPr>
          <w:rFonts w:eastAsiaTheme="minorHAnsi"/>
          <w:lang w:eastAsia="en-US"/>
        </w:rPr>
        <w:t xml:space="preserve">кроме тепловых сетей от котельной №1(ТКСИ) – система открытая,</w:t>
      </w:r>
      <w:r>
        <w:rPr>
          <w:rFonts w:eastAsiaTheme="minorEastAsia"/>
          <w:shd w:val="clear" w:color="auto" w:fill="ffffff"/>
        </w:rPr>
        <w:t xml:space="preserve"> в которой осуществляется потребление теплоносителя теплопотребляющими установками потребителей на нужды горячего водоснабжения.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Балансы максимального потребления теплоносителя в зонах действия открытых систем теплоснабжения котельных Тайшетского городского поселения представлены в Таблице 29.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right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right"/>
        <w:tabs>
          <w:tab w:val="left" w:pos="567" w:leader="none"/>
          <w:tab w:val="right" w:pos="9923" w:leader="dot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29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Балансы максимального потребления теплоносителя в зонах действия 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открытых систем теплоснабжения котельных Тайшетского городского поселения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tbl>
      <w:tblPr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4422"/>
        <w:gridCol w:w="4934"/>
      </w:tblGrid>
      <w:tr>
        <w:tblPrEx/>
        <w:trPr/>
        <w:tc>
          <w:tcPr>
            <w:tcW w:w="442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Наименование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муниципальной котельной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93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Максимальное потребление теплоносителя в зоне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действия системы теплоснабжения муниципальной котельной, тыс.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м</w:t>
            </w:r>
            <w:r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 xml:space="preserve">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4422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№1 (ТКСИ) 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493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309,400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442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Итого по муниципальному образованию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493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val="en-US"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364,8364</w:t>
            </w:r>
            <w:r>
              <w:rPr>
                <w:rFonts w:eastAsiaTheme="minorHAnsi"/>
                <w:sz w:val="22"/>
                <w:szCs w:val="22"/>
                <w:lang w:val="en-US" w:eastAsia="en-US"/>
              </w:rPr>
            </w:r>
            <w:r>
              <w:rPr>
                <w:rFonts w:eastAsiaTheme="minorHAnsi"/>
                <w:sz w:val="22"/>
                <w:szCs w:val="22"/>
                <w:lang w:val="en-US" w:eastAsia="en-US"/>
              </w:rPr>
            </w:r>
          </w:p>
        </w:tc>
      </w:tr>
    </w:tbl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  <w:spacing w:val="1"/>
        </w:rPr>
      </w:pPr>
      <w:r>
        <w:rPr>
          <w:rFonts w:eastAsiaTheme="minorEastAsia"/>
          <w:spacing w:val="1"/>
          <w:highlight w:val="none"/>
          <w:shd w:val="clear" w:color="auto" w:fill="ffffff"/>
        </w:rPr>
      </w:r>
      <w:r>
        <w:rPr>
          <w:rFonts w:eastAsiaTheme="minorEastAsia"/>
          <w:spacing w:val="1"/>
        </w:rPr>
      </w:r>
      <w:r>
        <w:rPr>
          <w:rFonts w:eastAsiaTheme="minorEastAsia"/>
          <w:spacing w:val="1"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  <w:spacing w:val="1"/>
          <w:highlight w:val="none"/>
          <w:shd w:val="clear" w:color="auto" w:fill="ffffff"/>
        </w:rPr>
      </w:pPr>
      <w:r>
        <w:rPr>
          <w:rFonts w:eastAsiaTheme="minorEastAsia"/>
          <w:spacing w:val="1"/>
          <w:shd w:val="clear" w:color="auto" w:fill="ffffff"/>
        </w:rPr>
        <w:t xml:space="preserve">Утвержденные балансы производительности водоподготовительных установок теплоносителя для тепловых сетей и максимального потребления теплоносителя в аварийных режимах систем теплоснабжения отсутствуют.</w:t>
      </w:r>
      <w:r>
        <w:rPr>
          <w:rFonts w:eastAsiaTheme="minorEastAsia"/>
          <w:spacing w:val="1"/>
          <w:highlight w:val="none"/>
          <w:shd w:val="clear" w:color="auto" w:fill="ffffff"/>
        </w:rPr>
      </w:r>
      <w:r>
        <w:rPr>
          <w:rFonts w:eastAsiaTheme="minorEastAsia"/>
          <w:spacing w:val="1"/>
          <w:highlight w:val="none"/>
          <w:shd w:val="clear" w:color="auto" w:fill="ffffff"/>
        </w:rPr>
      </w:r>
    </w:p>
    <w:p>
      <w:pPr>
        <w:ind w:firstLine="709"/>
        <w:jc w:val="center"/>
        <w:tabs>
          <w:tab w:val="left" w:pos="709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keepLines/>
        <w:keepNext/>
        <w:widowControl w:val="off"/>
        <w:rPr>
          <w:rFonts w:eastAsiaTheme="majorEastAsia"/>
          <w:bCs/>
          <w:shd w:val="clear" w:color="auto" w:fill="ffffff"/>
        </w:rPr>
      </w:pPr>
      <w:r/>
      <w:bookmarkStart w:id="68" w:name="_Toc149055598"/>
      <w:r>
        <w:rPr>
          <w:rFonts w:eastAsiaTheme="majorEastAsia"/>
          <w:bCs/>
          <w:shd w:val="clear" w:color="auto" w:fill="ffffff"/>
        </w:rPr>
        <w:t xml:space="preserve">Часть 8. Топливные балансы источников тепловой энергии </w:t>
      </w:r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</w:p>
    <w:p>
      <w:pPr>
        <w:jc w:val="center"/>
        <w:keepLines/>
        <w:keepNext/>
        <w:widowControl w:val="off"/>
        <w:rPr>
          <w:rFonts w:eastAsiaTheme="majorEastAsia"/>
          <w:bCs/>
          <w:shd w:val="clear" w:color="auto" w:fill="ffffff"/>
        </w:rPr>
      </w:pPr>
      <w:r>
        <w:rPr>
          <w:rFonts w:eastAsiaTheme="majorEastAsia"/>
          <w:bCs/>
          <w:shd w:val="clear" w:color="auto" w:fill="ffffff"/>
        </w:rPr>
        <w:t xml:space="preserve">и система обеспечения топливом</w:t>
      </w:r>
      <w:bookmarkEnd w:id="68"/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</w:p>
    <w:p>
      <w:pPr>
        <w:jc w:val="center"/>
        <w:keepLines/>
        <w:keepNext/>
        <w:widowControl w:val="off"/>
        <w:rPr>
          <w:rFonts w:eastAsiaTheme="majorEastAsia"/>
          <w:bCs/>
          <w:shd w:val="clear" w:color="auto" w:fill="ffffff"/>
        </w:rPr>
      </w:pPr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HAnsi"/>
          <w:lang w:eastAsia="en-US"/>
        </w:rPr>
        <w:t xml:space="preserve">Муниципальные котельные №1, №2, №3, №4, №5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в процессе эксплуатации в качестве основного топлива используют уголь бурый марки Б </w:t>
      </w:r>
      <w:r>
        <w:rPr>
          <w:rFonts w:eastAsiaTheme="minorEastAsia"/>
          <w:spacing w:val="1"/>
          <w:shd w:val="clear" w:color="auto" w:fill="ffffff"/>
        </w:rPr>
        <w:t xml:space="preserve">Канско-Ачинский, Ирбейского разреза</w:t>
      </w:r>
      <w:r>
        <w:rPr>
          <w:rFonts w:eastAsiaTheme="minorEastAsia"/>
          <w:shd w:val="clear" w:color="auto" w:fill="ffffff"/>
        </w:rPr>
        <w:t xml:space="preserve">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Электрокотельные </w:t>
      </w:r>
      <w:r>
        <w:rPr>
          <w:rFonts w:eastAsiaTheme="minorEastAsia"/>
        </w:rPr>
        <w:t xml:space="preserve">ДТВ ОАО «РЖД» и ПС-500 в качестве источника энергии используют электричество.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Вид и количество используемого основного топлива для </w:t>
      </w:r>
      <w:r>
        <w:rPr>
          <w:rFonts w:eastAsiaTheme="minorHAnsi"/>
          <w:lang w:eastAsia="en-US"/>
        </w:rPr>
        <w:t xml:space="preserve">муниципальных 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представлены в Таблице 30.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right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30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Вид и количество используемого основного топлива для </w:t>
      </w:r>
      <w:r>
        <w:rPr>
          <w:rFonts w:eastAsiaTheme="minorHAnsi"/>
          <w:lang w:eastAsia="en-US"/>
        </w:rPr>
        <w:t xml:space="preserve">котельных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HAnsi"/>
          <w:lang w:eastAsia="en-US"/>
        </w:rPr>
        <w:t xml:space="preserve">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tbl>
      <w:tblPr>
        <w:tblW w:w="9371" w:type="dxa"/>
        <w:tblInd w:w="9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2992"/>
        <w:gridCol w:w="3260"/>
        <w:gridCol w:w="1985"/>
        <w:gridCol w:w="1134"/>
      </w:tblGrid>
      <w:tr>
        <w:tblPrEx/>
        <w:trPr>
          <w:trHeight w:val="20"/>
        </w:trPr>
        <w:tc>
          <w:tcPr>
            <w:shd w:val="clear" w:color="auto" w:fill="auto"/>
            <w:tcW w:w="299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Наименование муниципальной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326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Вид используемого основного топлива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311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Количество используемого основного топлива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2992" w:type="dxa"/>
            <w:vAlign w:val="center"/>
            <w:vMerge w:val="continue"/>
            <w:textDirection w:val="lrTb"/>
            <w:noWrap w:val="false"/>
          </w:tcPr>
          <w:p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3260" w:type="dxa"/>
            <w:vAlign w:val="center"/>
            <w:vMerge w:val="continue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1985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т (</w:t>
            </w:r>
            <w:r>
              <w:rPr>
                <w:sz w:val="22"/>
                <w:szCs w:val="22"/>
              </w:rPr>
              <w:t xml:space="preserve">тыс. кВт.ч/год)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т у.т.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299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26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Уголь бурый Канско-Ачинский, Ирбейского разреза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98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30</w:t>
            </w:r>
            <w:r>
              <w:rPr>
                <w:sz w:val="22"/>
                <w:szCs w:val="22"/>
              </w:rPr>
              <w:t xml:space="preserve">355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18225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299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2 (ШПЗ)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26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Уголь бурый Канско-Ачинский, Ирбейского разреза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98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</w:t>
            </w:r>
            <w:r>
              <w:rPr>
                <w:sz w:val="22"/>
                <w:szCs w:val="22"/>
              </w:rPr>
              <w:t xml:space="preserve">005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</w:t>
            </w:r>
            <w:r>
              <w:rPr>
                <w:sz w:val="22"/>
                <w:szCs w:val="22"/>
              </w:rPr>
              <w:t xml:space="preserve">203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299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3 (Мелькомбинат)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26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Уголь бурый Канско-Ачинский, Ирбейского разреза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98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  <w:t xml:space="preserve">456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</w:t>
            </w:r>
            <w:r>
              <w:rPr>
                <w:sz w:val="22"/>
                <w:szCs w:val="22"/>
              </w:rPr>
              <w:t xml:space="preserve">67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299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№4 (Экспедиция 5)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26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Уголь бурый Канско-Ачинский, Ирбейского разреза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98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2065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  <w:t xml:space="preserve">234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299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5 (Совхоз)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26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Уголь бурый Канско-Ачинский, Ирбейского разреза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98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798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478</w:t>
            </w:r>
            <w:r>
              <w:rPr>
                <w:sz w:val="22"/>
                <w:szCs w:val="22"/>
                <w:lang w:val="en-US"/>
              </w:rPr>
            </w:r>
            <w:r>
              <w:rPr>
                <w:sz w:val="22"/>
                <w:szCs w:val="22"/>
                <w:lang w:val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2992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ДТВ ОАО «РЖД»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shd w:val="clear" w:color="auto" w:fill="auto"/>
            <w:tcW w:w="326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Электроэнергия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98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14195,8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2992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ПС-500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shd w:val="clear" w:color="auto" w:fill="auto"/>
            <w:tcW w:w="326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Электроэнергия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98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1359, 0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299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муниципальному образованию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326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Уголь бурый Канско-Ачинский, Ирбейского разреза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1985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78679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47</w:t>
            </w:r>
            <w:r>
              <w:rPr>
                <w:bCs/>
                <w:sz w:val="22"/>
                <w:szCs w:val="22"/>
              </w:rPr>
              <w:t xml:space="preserve">211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299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326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Электроэнергия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1985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15554,8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-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</w:tbl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Резервное и аварийное топливо для </w:t>
      </w:r>
      <w:r>
        <w:rPr>
          <w:rFonts w:eastAsiaTheme="minorHAnsi"/>
          <w:lang w:eastAsia="en-US"/>
        </w:rPr>
        <w:t xml:space="preserve">муниципальных 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по состоянию на отчетный (базовый)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 отсутствует.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Поставка топлива на котельные произв</w:t>
      </w:r>
      <w:r>
        <w:rPr>
          <w:rFonts w:eastAsiaTheme="minorEastAsia"/>
          <w:shd w:val="clear" w:color="auto" w:fill="ffffff"/>
        </w:rPr>
        <w:t xml:space="preserve">одится по следующей схеме: топливо поступает на склады котельных №1, 2, 3 железнодорожным транспортом согласно заявленному объему для обеспечения нормативных запасов топлива. Доставка угля со складов котельных №1, 2 на склады котельных №4, 5 осуществляется</w:t>
      </w:r>
      <w:r>
        <w:rPr>
          <w:rFonts w:eastAsiaTheme="minorEastAsia"/>
          <w:shd w:val="clear" w:color="auto" w:fill="ffffff"/>
        </w:rPr>
        <w:t xml:space="preserve"> автомобильным транспортом.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 периоды расчетных температур наружного воздуха сбоев в поставке топлива не было.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Местным видом топлива для отопления в Тайшетском городском поселении являются дрова и уголь Шиткинского разреза.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keepLines/>
        <w:keepNext/>
        <w:widowControl w:val="off"/>
        <w:rPr>
          <w:rFonts w:eastAsiaTheme="majorEastAsia"/>
          <w:bCs/>
        </w:rPr>
      </w:pPr>
      <w:r/>
      <w:bookmarkStart w:id="69" w:name="_Toc149055599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jc w:val="center"/>
        <w:keepLines/>
        <w:keepNext/>
        <w:widowControl w:val="off"/>
        <w:rPr>
          <w:rFonts w:eastAsiaTheme="majorEastAsia"/>
          <w:bCs/>
        </w:rPr>
      </w:pPr>
      <w:r>
        <w:rPr>
          <w:rFonts w:eastAsiaTheme="majorEastAsia"/>
          <w:bCs/>
        </w:rPr>
        <w:t xml:space="preserve">Часть 9. Надежность теплоснабжения</w:t>
      </w:r>
      <w:bookmarkEnd w:id="69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jc w:val="center"/>
        <w:keepLines/>
        <w:keepNext/>
        <w:widowControl w:val="off"/>
        <w:rPr>
          <w:rFonts w:eastAsiaTheme="majorEastAsia"/>
          <w:bCs/>
        </w:rPr>
      </w:pPr>
      <w:r>
        <w:rPr>
          <w:rFonts w:eastAsiaTheme="majorEastAsia"/>
          <w:bCs/>
        </w:rPr>
      </w:r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Уровень надёжности поставляемых товаров и оказываемых услуг регулируемой организацией определяется исходя из числа возникающих в результате нарушений, аварий, инцидентов на объектах данной регулируемой организации.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 целях определения надежности системы теплоснабжения муниципального образования используются критерии, характеризующие состояние электроснаб</w:t>
      </w:r>
      <w:r>
        <w:rPr>
          <w:rFonts w:eastAsiaTheme="minorEastAsia"/>
          <w:shd w:val="clear" w:color="auto" w:fill="ffffff"/>
        </w:rPr>
        <w:t xml:space="preserve">жения, водоснабжения, топливоснабжения источников тепловой энергии, соответствие установленной мощности источников тепловой энергии и пропускной способности тепловых сетей расчетным тепловым нагрузкам, техническое состояние и резервирование тепловых сетей.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Показатель надежности системы теплоснабжения определяется по формуле: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К = (К</w:t>
      </w:r>
      <w:r>
        <w:rPr>
          <w:rFonts w:eastAsiaTheme="minorEastAsia"/>
          <w:shd w:val="clear" w:color="auto" w:fill="ffffff"/>
          <w:vertAlign w:val="subscript"/>
        </w:rPr>
        <w:t xml:space="preserve">Э</w:t>
      </w:r>
      <w:r>
        <w:rPr>
          <w:rFonts w:eastAsiaTheme="minorEastAsia"/>
          <w:shd w:val="clear" w:color="auto" w:fill="ffffff"/>
        </w:rPr>
        <w:t xml:space="preserve"> + К</w:t>
      </w:r>
      <w:r>
        <w:rPr>
          <w:rFonts w:eastAsiaTheme="minorEastAsia"/>
          <w:shd w:val="clear" w:color="auto" w:fill="ffffff"/>
          <w:vertAlign w:val="subscript"/>
        </w:rPr>
        <w:t xml:space="preserve">В</w:t>
      </w:r>
      <w:r>
        <w:rPr>
          <w:rFonts w:eastAsiaTheme="minorEastAsia"/>
          <w:shd w:val="clear" w:color="auto" w:fill="ffffff"/>
        </w:rPr>
        <w:t xml:space="preserve"> + К</w:t>
      </w:r>
      <w:r>
        <w:rPr>
          <w:rFonts w:eastAsiaTheme="minorEastAsia"/>
          <w:shd w:val="clear" w:color="auto" w:fill="ffffff"/>
          <w:vertAlign w:val="subscript"/>
        </w:rPr>
        <w:t xml:space="preserve">Т</w:t>
      </w:r>
      <w:r>
        <w:rPr>
          <w:rFonts w:eastAsiaTheme="minorEastAsia"/>
          <w:shd w:val="clear" w:color="auto" w:fill="ffffff"/>
        </w:rPr>
        <w:t xml:space="preserve"> + К</w:t>
      </w:r>
      <w:r>
        <w:rPr>
          <w:rFonts w:eastAsiaTheme="minorEastAsia"/>
          <w:shd w:val="clear" w:color="auto" w:fill="ffffff"/>
          <w:vertAlign w:val="subscript"/>
        </w:rPr>
        <w:t xml:space="preserve">Б</w:t>
      </w:r>
      <w:r>
        <w:rPr>
          <w:rFonts w:eastAsiaTheme="minorEastAsia"/>
          <w:shd w:val="clear" w:color="auto" w:fill="ffffff"/>
        </w:rPr>
        <w:t xml:space="preserve"> + К</w:t>
      </w:r>
      <w:r>
        <w:rPr>
          <w:rFonts w:eastAsiaTheme="minorEastAsia"/>
          <w:shd w:val="clear" w:color="auto" w:fill="ffffff"/>
          <w:vertAlign w:val="subscript"/>
        </w:rPr>
        <w:t xml:space="preserve">Р</w:t>
      </w:r>
      <w:r>
        <w:rPr>
          <w:rFonts w:eastAsiaTheme="minorEastAsia"/>
          <w:shd w:val="clear" w:color="auto" w:fill="ffffff"/>
        </w:rPr>
        <w:t xml:space="preserve"> + К</w:t>
      </w:r>
      <w:r>
        <w:rPr>
          <w:rFonts w:eastAsiaTheme="minorEastAsia"/>
          <w:shd w:val="clear" w:color="auto" w:fill="ffffff"/>
          <w:vertAlign w:val="subscript"/>
        </w:rPr>
        <w:t xml:space="preserve">С</w:t>
      </w:r>
      <w:r>
        <w:rPr>
          <w:rFonts w:eastAsiaTheme="minorEastAsia"/>
          <w:shd w:val="clear" w:color="auto" w:fill="ffffff"/>
        </w:rPr>
        <w:t xml:space="preserve">) / </w:t>
      </w:r>
      <w:r>
        <w:rPr>
          <w:rFonts w:eastAsiaTheme="minorEastAsia"/>
          <w:shd w:val="clear" w:color="auto" w:fill="ffffff"/>
          <w:lang w:val="en-US"/>
        </w:rPr>
        <w:t xml:space="preserve">n</w:t>
      </w:r>
      <w:r>
        <w:rPr>
          <w:rFonts w:eastAsiaTheme="minorEastAsia"/>
          <w:shd w:val="clear" w:color="auto" w:fill="ffffff"/>
        </w:rPr>
        <w:t xml:space="preserve">,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где: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К</w:t>
      </w:r>
      <w:r>
        <w:rPr>
          <w:rFonts w:eastAsiaTheme="minorEastAsia"/>
          <w:shd w:val="clear" w:color="auto" w:fill="ffffff"/>
          <w:vertAlign w:val="subscript"/>
        </w:rPr>
        <w:t xml:space="preserve">Э</w:t>
      </w:r>
      <w:r>
        <w:rPr>
          <w:rFonts w:eastAsiaTheme="minorHAnsi"/>
          <w:i/>
          <w:iCs/>
          <w:sz w:val="25"/>
          <w:szCs w:val="25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- коэффициент надежности электроснабжения источника тепловой энергии;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К</w:t>
      </w:r>
      <w:r>
        <w:rPr>
          <w:rFonts w:eastAsiaTheme="minorEastAsia"/>
          <w:shd w:val="clear" w:color="auto" w:fill="ffffff"/>
          <w:vertAlign w:val="subscript"/>
        </w:rPr>
        <w:t xml:space="preserve">В</w:t>
      </w:r>
      <w:r>
        <w:rPr>
          <w:rFonts w:eastAsiaTheme="minorHAnsi"/>
          <w:lang w:eastAsia="en-US"/>
        </w:rPr>
        <w:t xml:space="preserve"> - коэффициент надежности водоснабжения источника тепловой энергии;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К</w:t>
      </w:r>
      <w:r>
        <w:rPr>
          <w:rFonts w:eastAsiaTheme="minorEastAsia"/>
          <w:shd w:val="clear" w:color="auto" w:fill="ffffff"/>
          <w:vertAlign w:val="subscript"/>
        </w:rPr>
        <w:t xml:space="preserve">Т</w:t>
      </w:r>
      <w:r>
        <w:rPr>
          <w:rFonts w:eastAsiaTheme="minorHAnsi"/>
          <w:i/>
          <w:iCs/>
          <w:sz w:val="25"/>
          <w:szCs w:val="25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- коэффициент надежности топливоснабжения источника тепловой энергии;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К</w:t>
      </w:r>
      <w:r>
        <w:rPr>
          <w:rFonts w:eastAsiaTheme="minorEastAsia"/>
          <w:shd w:val="clear" w:color="auto" w:fill="ffffff"/>
          <w:vertAlign w:val="subscript"/>
        </w:rPr>
        <w:t xml:space="preserve">Б</w:t>
      </w:r>
      <w:r>
        <w:rPr>
          <w:rFonts w:eastAsiaTheme="minorHAnsi"/>
          <w:lang w:eastAsia="en-US"/>
        </w:rPr>
        <w:t xml:space="preserve"> - коэффициент размера дефицита тепловой мощности источника тепловой энергии;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К</w:t>
      </w:r>
      <w:r>
        <w:rPr>
          <w:rFonts w:eastAsiaTheme="minorEastAsia"/>
          <w:shd w:val="clear" w:color="auto" w:fill="ffffff"/>
          <w:vertAlign w:val="subscript"/>
        </w:rPr>
        <w:t xml:space="preserve">Р</w:t>
      </w:r>
      <w:r>
        <w:rPr>
          <w:rFonts w:eastAsiaTheme="minorHAnsi"/>
          <w:lang w:eastAsia="en-US"/>
        </w:rPr>
        <w:t xml:space="preserve"> - коэффициент резервирования;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К</w:t>
      </w:r>
      <w:r>
        <w:rPr>
          <w:rFonts w:eastAsiaTheme="minorEastAsia"/>
          <w:shd w:val="clear" w:color="auto" w:fill="ffffff"/>
          <w:vertAlign w:val="subscript"/>
        </w:rPr>
        <w:t xml:space="preserve">С</w:t>
      </w:r>
      <w:r>
        <w:rPr>
          <w:rFonts w:eastAsiaTheme="minorHAnsi"/>
          <w:lang w:eastAsia="en-US"/>
        </w:rPr>
        <w:t xml:space="preserve"> - коэффициент состояния тепловых сетей, характеризуемый наличием ветхих, подлежащих замене трубопроводов.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Указа</w:t>
      </w:r>
      <w:r>
        <w:rPr>
          <w:rFonts w:eastAsiaTheme="minorHAnsi"/>
          <w:lang w:eastAsia="en-US"/>
        </w:rPr>
        <w:t xml:space="preserve">нные критерии зависят от наличия резервного электроснабжения, водоснабжения, топливоснабжения источников тепловой энергии, состояния тепловых сетей, и определяются индивидуально для каждой системы теплоснабжения муниципального образования в соответствии с </w:t>
      </w:r>
      <w:r>
        <w:rPr>
          <w:rFonts w:eastAsiaTheme="minorHAnsi"/>
          <w:bCs/>
        </w:rPr>
        <w:t xml:space="preserve">МДС 41-6.2000 «Организационно-методические рекомендации по подготовке к проведению отопительного периода и повышению надежности систем коммунального теплоснабжения в городах и населенных пунктах Российской Федерации».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зависимости от совокупного значения коэффициентов надежности теплоснабжения выделяются следующие степени надежности систем теплоснабжения: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высоконадежные: значение </w:t>
      </w:r>
      <w:r>
        <w:rPr>
          <w:rFonts w:eastAsiaTheme="minorHAnsi"/>
          <w:iCs/>
          <w:lang w:eastAsia="en-US"/>
        </w:rPr>
        <w:t xml:space="preserve">К более 0,9;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надежные: значение К от 0,75 до 0,89;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малонадежные: значение К от 0,5 до 0,74;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ненадежные: значение К менее 0,5.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Степень надежности систем теплоснабжения Тайшетского городского поселения представлена в Таблице 31.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right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Таблица 31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Степень надежности систем теплоснабжения Тайшетского городского поселения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tbl>
      <w:tblPr>
        <w:tblW w:w="4975" w:type="pct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2976"/>
        <w:gridCol w:w="567"/>
        <w:gridCol w:w="568"/>
        <w:gridCol w:w="708"/>
        <w:gridCol w:w="566"/>
        <w:gridCol w:w="849"/>
        <w:gridCol w:w="705"/>
        <w:gridCol w:w="825"/>
        <w:gridCol w:w="1758"/>
      </w:tblGrid>
      <w:tr>
        <w:tblPrEx/>
        <w:trPr>
          <w:trHeight w:val="20"/>
        </w:trPr>
        <w:tc>
          <w:tcPr>
            <w:shd w:val="clear" w:color="000000" w:fill="ffffff"/>
            <w:tcW w:w="1563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Наименование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7"/>
            <w:shd w:val="clear" w:color="000000" w:fill="ffffff"/>
            <w:tcW w:w="2514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Коэффициенты надежности системы теплоснабжения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000000" w:fill="ffffff"/>
            <w:tcW w:w="923" w:type="pct"/>
            <w:vAlign w:val="center"/>
            <w:vMerge w:val="restart"/>
            <w:textDirection w:val="lrTb"/>
            <w:noWrap w:val="false"/>
          </w:tcPr>
          <w:p>
            <w:pPr>
              <w:ind w:left="-76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Степень надежности системы теплоснабжения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W w:w="1563" w:type="pct"/>
            <w:vAlign w:val="center"/>
            <w:vMerge w:val="continue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000000" w:fill="ffffff"/>
            <w:tcW w:w="298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</w:t>
            </w:r>
            <w:r>
              <w:rPr>
                <w:bCs/>
                <w:sz w:val="22"/>
                <w:szCs w:val="22"/>
                <w:vertAlign w:val="subscript"/>
              </w:rPr>
              <w:t xml:space="preserve">Э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000000" w:fill="ffffff"/>
            <w:tcW w:w="298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</w:t>
            </w:r>
            <w:r>
              <w:rPr>
                <w:bCs/>
                <w:sz w:val="22"/>
                <w:szCs w:val="22"/>
                <w:vertAlign w:val="subscript"/>
              </w:rPr>
              <w:t xml:space="preserve">В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000000" w:fill="ffffff"/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</w:t>
            </w:r>
            <w:r>
              <w:rPr>
                <w:bCs/>
                <w:sz w:val="22"/>
                <w:szCs w:val="22"/>
                <w:vertAlign w:val="subscript"/>
              </w:rPr>
              <w:t xml:space="preserve">Т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000000" w:fill="ffffff"/>
            <w:tcW w:w="297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</w:t>
            </w:r>
            <w:r>
              <w:rPr>
                <w:bCs/>
                <w:sz w:val="22"/>
                <w:szCs w:val="22"/>
                <w:vertAlign w:val="subscript"/>
              </w:rPr>
              <w:t xml:space="preserve">Б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000000" w:fill="ffffff"/>
            <w:tcW w:w="446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</w:t>
            </w:r>
            <w:r>
              <w:rPr>
                <w:bCs/>
                <w:sz w:val="22"/>
                <w:szCs w:val="22"/>
                <w:vertAlign w:val="subscript"/>
              </w:rPr>
              <w:t xml:space="preserve">Р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000000" w:fill="ffffff"/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</w:t>
            </w:r>
            <w:r>
              <w:rPr>
                <w:bCs/>
                <w:sz w:val="22"/>
                <w:szCs w:val="22"/>
                <w:vertAlign w:val="subscript"/>
              </w:rPr>
              <w:t xml:space="preserve">С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000000" w:fill="ffffff"/>
            <w:tcW w:w="43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923" w:type="pct"/>
            <w:vAlign w:val="center"/>
            <w:vMerge w:val="continue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000000" w:fill="ffffff"/>
            <w:tcW w:w="1563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29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29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29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44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0,79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43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92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Надежная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000000" w:fill="ffffff"/>
            <w:tcW w:w="1563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2 (ШПЗ)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29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29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29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44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43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92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Надежная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000000" w:fill="ffffff"/>
            <w:tcW w:w="1563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3 (Мелькомбинат)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29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29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29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44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43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92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Надежная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000000" w:fill="ffffff"/>
            <w:tcW w:w="1563" w:type="pct"/>
            <w:vAlign w:val="center"/>
            <w:textDirection w:val="lrTb"/>
            <w:noWrap w:val="false"/>
          </w:tcPr>
          <w:p>
            <w:pPr>
              <w:ind w:left="-10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№4 (Экспедиция 5)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29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29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29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44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43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92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Надежная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000000" w:fill="ffffff"/>
            <w:tcW w:w="1563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№5 (Совхоз)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29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29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29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44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43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0,76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92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Надежная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000000" w:fill="ffffff"/>
            <w:tcW w:w="1563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ДТВ ОАО «РЖД»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29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29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29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44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43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92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Надежная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000000" w:fill="ffffff"/>
            <w:tcW w:w="1563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Итого по муниципальному </w:t>
            </w:r>
            <w:r>
              <w:rPr>
                <w:sz w:val="22"/>
                <w:szCs w:val="22"/>
              </w:rPr>
              <w:t xml:space="preserve">образованию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29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29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37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29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44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43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0,76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000000" w:fill="ffffff"/>
            <w:tcW w:w="92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Надежная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ind w:firstLine="709"/>
        <w:jc w:val="both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highlight w:val="none"/>
          <w:lang w:eastAsia="en-US"/>
        </w:rPr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Theme="minorHAnsi"/>
          <w:highlight w:val="none"/>
          <w:lang w:eastAsia="en-US"/>
        </w:rPr>
      </w:pPr>
      <w:r>
        <w:rPr>
          <w:rFonts w:eastAsiaTheme="minorHAnsi"/>
          <w:lang w:eastAsia="en-US"/>
        </w:rPr>
        <w:t xml:space="preserve">Аварийные отключения потребителей тепловой энергии, вырабатываемой котельными Тайшетского городского поселения, за последние 3 года, отсутствуют.</w:t>
      </w:r>
      <w:r>
        <w:rPr>
          <w:rFonts w:eastAsiaTheme="minorHAnsi"/>
          <w:highlight w:val="none"/>
          <w:lang w:eastAsia="en-US"/>
        </w:rPr>
      </w:r>
      <w:r>
        <w:rPr>
          <w:rFonts w:eastAsiaTheme="minorHAnsi"/>
          <w:highlight w:val="none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Графические материалы в виде карт-схем тепловых сетей муниципальных котельных Тайшетского городского поселения представлены в </w:t>
      </w:r>
      <w:r>
        <w:rPr>
          <w:rFonts w:eastAsiaTheme="minorEastAsia"/>
          <w:shd w:val="clear" w:color="auto" w:fill="ffffff"/>
        </w:rPr>
        <w:t xml:space="preserve">Приложении 1 к Схеме теплоснабжения «</w:t>
      </w:r>
      <w:r>
        <w:rPr>
          <w:rFonts w:eastAsiaTheme="minorHAnsi"/>
          <w:lang w:eastAsia="en-US"/>
        </w:rPr>
        <w:t xml:space="preserve">Картографическая часть схемы теплоснабжения».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Аварийные ситуации при теплоснабжении, расследование причин которых осуществляется федеральным орга</w:t>
      </w:r>
      <w:r>
        <w:rPr>
          <w:rFonts w:eastAsiaTheme="minorHAnsi"/>
          <w:lang w:eastAsia="en-US"/>
        </w:rPr>
        <w:t xml:space="preserve">ном исполнительной власти, уполномоченным на осуществление федерального государственного энергетического надзора, в соответствии с Правилами расследования причин аварийных ситуаций при теплоснабжении, утвержденными Постановлением Правительства РФ от 17 окт</w:t>
      </w:r>
      <w:r>
        <w:rPr>
          <w:rFonts w:eastAsiaTheme="minorHAnsi"/>
          <w:lang w:eastAsia="en-US"/>
        </w:rPr>
        <w:t xml:space="preserve">ября 2015 год № 1114 «О расследовании причин аварийных ситуаций при теплоснабжении и о признании утратившими силу отдельных положений Правил расследования причин аварий в электроэнергетике», за последние 3 года в Тайшетском городском поселении отсутствуют.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соответствии со СП.124.13330.2012 «Тепловые сети», восстановление теплоснабжения потребителей, отключенных в результате аварийных ситуаций при теплоснабжении, производится в следующие сроки: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при диаметре тепловых сетей 300 мм - в течение 15 часов;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при диаметре тепловых сетей 400 мм - в течение 18 часов;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при диаметре тепловых сетей 500 мм - в течение 22 часов;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при диаметре тепловых сетей 600 мм - в течение 26 часов;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при диаметре тепловых сетей 700 мм - в течение 29 часов;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contextualSpacing/>
        <w:jc w:val="center"/>
        <w:keepLines/>
        <w:keepNext/>
        <w:widowControl w:val="off"/>
        <w:rPr>
          <w:rFonts w:eastAsiaTheme="majorEastAsia"/>
          <w:bCs/>
          <w:shd w:val="clear" w:color="auto" w:fill="ffffff"/>
        </w:rPr>
      </w:pPr>
      <w:r/>
      <w:bookmarkStart w:id="70" w:name="_Toc149055600"/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</w:p>
    <w:p>
      <w:pPr>
        <w:contextualSpacing/>
        <w:jc w:val="center"/>
        <w:keepLines/>
        <w:keepNext/>
        <w:widowControl w:val="off"/>
        <w:rPr>
          <w:rFonts w:eastAsiaTheme="majorEastAsia"/>
          <w:bCs/>
          <w:shd w:val="clear" w:color="auto" w:fill="ffffff"/>
        </w:rPr>
      </w:pPr>
      <w:r>
        <w:rPr>
          <w:rFonts w:eastAsiaTheme="majorEastAsia"/>
          <w:bCs/>
          <w:shd w:val="clear" w:color="auto" w:fill="ffffff"/>
        </w:rPr>
        <w:t xml:space="preserve">Часть 10. Технико-экономические показатели теплоснабжающих </w:t>
      </w:r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</w:p>
    <w:p>
      <w:pPr>
        <w:contextualSpacing/>
        <w:jc w:val="center"/>
        <w:keepLines/>
        <w:keepNext/>
        <w:widowControl w:val="off"/>
        <w:rPr>
          <w:rFonts w:eastAsiaTheme="majorEastAsia"/>
          <w:bCs/>
          <w:shd w:val="clear" w:color="auto" w:fill="ffffff"/>
        </w:rPr>
      </w:pPr>
      <w:r>
        <w:rPr>
          <w:rFonts w:eastAsiaTheme="majorEastAsia"/>
          <w:bCs/>
          <w:shd w:val="clear" w:color="auto" w:fill="ffffff"/>
        </w:rPr>
        <w:t xml:space="preserve">и теплосетевых организаций</w:t>
      </w:r>
      <w:bookmarkEnd w:id="70"/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</w:p>
    <w:p>
      <w:pPr>
        <w:contextualSpacing/>
        <w:jc w:val="center"/>
        <w:keepLines/>
        <w:keepNext/>
        <w:widowControl w:val="off"/>
        <w:rPr>
          <w:rFonts w:eastAsiaTheme="majorEastAsia"/>
          <w:bCs/>
          <w:shd w:val="clear" w:color="auto" w:fill="ffffff"/>
        </w:rPr>
      </w:pPr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 системе теплоснабжения </w:t>
      </w:r>
      <w:r>
        <w:rPr>
          <w:rFonts w:eastAsiaTheme="minorHAnsi"/>
          <w:lang w:eastAsia="en-US"/>
        </w:rPr>
        <w:t xml:space="preserve">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в качестве теплоснабжающей и теплосетевой организации выступают ОП «ТТС» АО «Байкалэнерго», </w:t>
      </w:r>
      <w:r>
        <w:t xml:space="preserve">ДТВ ОАО «РЖД»</w:t>
      </w:r>
      <w:r>
        <w:rPr>
          <w:rFonts w:eastAsiaTheme="minorEastAsia"/>
          <w:shd w:val="clear" w:color="auto" w:fill="ffffff"/>
        </w:rPr>
        <w:t xml:space="preserve"> и филиал ОАО ИЭСК «Западные электрические сети»</w:t>
      </w:r>
      <w:r>
        <w:rPr>
          <w:rFonts w:eastAsiaTheme="minorHAnsi"/>
          <w:lang w:eastAsia="en-US"/>
        </w:rPr>
        <w:t xml:space="preserve">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Описание результатов хозяйственной деятельности теплоснабжающей и теплосетевой организации систем теплоснабжения муниципальных котельных Тайшетского городского поселения </w:t>
      </w:r>
      <w:r>
        <w:rPr>
          <w:rFonts w:eastAsiaTheme="minorEastAsia"/>
          <w:shd w:val="clear" w:color="auto" w:fill="ffffff"/>
        </w:rPr>
        <w:t xml:space="preserve">ОП «ТТС» АО «Байкалэнерго»,  </w:t>
      </w:r>
      <w:r>
        <w:t xml:space="preserve">ДТВ ОАО «РЖД»</w:t>
      </w:r>
      <w:r>
        <w:rPr>
          <w:rFonts w:eastAsiaTheme="minorEastAsia"/>
          <w:shd w:val="clear" w:color="auto" w:fill="ffffff"/>
        </w:rPr>
        <w:t xml:space="preserve"> и ф</w:t>
      </w:r>
      <w:r>
        <w:rPr>
          <w:rFonts w:eastAsiaTheme="minorHAnsi"/>
          <w:bCs/>
          <w:lang w:eastAsia="en-US"/>
        </w:rPr>
        <w:t xml:space="preserve">илиал ОАО «ИЭСК» «Западные электрические сети» </w:t>
      </w:r>
      <w:r>
        <w:rPr>
          <w:rFonts w:eastAsiaTheme="minorHAnsi"/>
          <w:lang w:eastAsia="en-US"/>
        </w:rPr>
        <w:t xml:space="preserve">осуществляется в соответствии с требованиями, устанавливаемыми Правительством РФ в стандартах раскрытия информации теплоснабжающими организациями, теплосетевыми организациями.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Реквизиты ОП «ТТС» АО «Байкалэнерго»: ОГРН 1043801024630, ИНН 3808108339, КПП 381201001; </w:t>
      </w:r>
      <w:r>
        <w:rPr>
          <w:rFonts w:eastAsiaTheme="minorHAnsi"/>
          <w:lang w:eastAsia="en-US"/>
        </w:rPr>
        <w:t xml:space="preserve">ОКПО 71788316; ОКАТО 25401380; ОКОПФ 12267; дата государственной регистрации: «12» июля 2004 года; </w:t>
      </w:r>
      <w:r>
        <w:rPr>
          <w:rFonts w:eastAsiaTheme="minorEastAsia"/>
          <w:shd w:val="clear" w:color="auto" w:fill="ffffff"/>
        </w:rPr>
        <w:t xml:space="preserve">юридический адрес: 664043, Иркутская обл., город Иркутск, бульвар Рябикова, дом 67; адрес местонахождения665003, город Тайшет, улица И</w:t>
      </w:r>
      <w:r>
        <w:rPr>
          <w:rFonts w:eastAsiaTheme="minorEastAsia"/>
          <w:shd w:val="clear" w:color="auto" w:fill="ffffff"/>
        </w:rPr>
        <w:t xml:space="preserve">ндустриальная, дом 3; размер уставного капитала: 58100,00 рублей; руководитель: Генеральный директор Потапов Владимир Васильевич; основный вид деятельности (ОКВЭД): 35.3- производство, передача и распределение пара и горячей воды кондиционирование воздуха.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Результаты хозяйственной деятельности </w:t>
      </w:r>
      <w:r>
        <w:rPr>
          <w:rFonts w:eastAsiaTheme="minorHAnsi"/>
          <w:lang w:eastAsia="en-US"/>
        </w:rPr>
        <w:t xml:space="preserve">теплоснабжающей и теплосетевой организации систем теплоснабжения муниципальных котельных Тайшетского городского поселения </w:t>
      </w:r>
      <w:r>
        <w:rPr>
          <w:rFonts w:eastAsiaTheme="minorEastAsia"/>
          <w:shd w:val="clear" w:color="auto" w:fill="ffffff"/>
        </w:rPr>
        <w:t xml:space="preserve">ОП «ТТС»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EastAsia"/>
          <w:shd w:val="clear" w:color="auto" w:fill="ffffff"/>
        </w:rPr>
        <w:t xml:space="preserve">АО «Байкалэнерго»</w:t>
      </w:r>
      <w:r>
        <w:rPr>
          <w:rFonts w:eastAsiaTheme="minorHAnsi"/>
          <w:lang w:eastAsia="en-US"/>
        </w:rPr>
        <w:t xml:space="preserve"> за отчетный (базовый) </w:t>
      </w:r>
      <w:r>
        <w:rPr>
          <w:rFonts w:eastAsiaTheme="minorHAnsi"/>
          <w:color w:val="ff0000"/>
          <w:lang w:eastAsia="en-US"/>
        </w:rPr>
        <w:t xml:space="preserve">202</w:t>
      </w:r>
      <w:r>
        <w:rPr>
          <w:rFonts w:eastAsiaTheme="minorHAnsi"/>
          <w:color w:val="ff0000"/>
          <w:lang w:eastAsia="en-US"/>
        </w:rPr>
        <w:t xml:space="preserve">4</w:t>
      </w:r>
      <w:r>
        <w:rPr>
          <w:rFonts w:eastAsiaTheme="minorHAnsi"/>
          <w:lang w:eastAsia="en-US"/>
        </w:rPr>
        <w:t xml:space="preserve"> год представлены в Таблице 32.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right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right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Таблица 32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Результаты хозяйственной деятельности </w:t>
      </w:r>
      <w:r>
        <w:rPr>
          <w:rFonts w:eastAsiaTheme="minorHAnsi"/>
          <w:lang w:eastAsia="en-US"/>
        </w:rPr>
        <w:t xml:space="preserve">теплоснабжающей и теплосетевой организации систем теплоснабжения котельных Тайшетского городского поселения за отчетный (базовый) 202</w:t>
      </w:r>
      <w:r>
        <w:rPr>
          <w:rFonts w:eastAsiaTheme="minorHAnsi"/>
          <w:lang w:eastAsia="en-US"/>
        </w:rPr>
        <w:t xml:space="preserve">4</w:t>
      </w:r>
      <w:r>
        <w:rPr>
          <w:rFonts w:eastAsiaTheme="minorHAnsi"/>
          <w:lang w:eastAsia="en-US"/>
        </w:rPr>
        <w:t xml:space="preserve"> год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80" w:firstRow="0" w:lastRow="0" w:firstColumn="1" w:lastColumn="0" w:noHBand="0" w:noVBand="1"/>
      </w:tblPr>
      <w:tblGrid>
        <w:gridCol w:w="815"/>
        <w:gridCol w:w="5671"/>
        <w:gridCol w:w="1275"/>
        <w:gridCol w:w="1809"/>
      </w:tblGrid>
      <w:tr>
        <w:tblPrEx/>
        <w:trPr>
          <w:trHeight w:val="600"/>
          <w:tblHeader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№ п/п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Наименование показателя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Единица измерения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Факт базового 202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года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142"/>
        </w:trPr>
        <w:tc>
          <w:tcPr>
            <w:gridSpan w:val="4"/>
            <w:shd w:val="clear" w:color="000000" w:fill="ffffff"/>
            <w:tcW w:w="5000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ОП «ТТС»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301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vAlign w:val="center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Вид деятельности организации (производство, передача и сбыт тепловой энергии)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ind w:left="-106"/>
              <w:jc w:val="center"/>
              <w:tabs>
                <w:tab w:val="left" w:pos="993" w:leader="none"/>
              </w:tabs>
            </w:pPr>
            <w:r>
              <w:t xml:space="preserve">Производство тепловой энергии</w:t>
            </w:r>
            <w:r/>
          </w:p>
        </w:tc>
      </w:tr>
      <w:tr>
        <w:tblPrEx/>
        <w:trPr>
          <w:trHeight w:val="300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Валовая выручка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руб.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highlight w:val="yellow"/>
                <w:lang w:val="en-US"/>
              </w:rPr>
            </w:pPr>
            <w:r>
              <w:t xml:space="preserve">365615</w:t>
            </w:r>
            <w:r>
              <w:rPr>
                <w:highlight w:val="yellow"/>
                <w:lang w:val="en-US"/>
              </w:rPr>
            </w:r>
            <w:r>
              <w:rPr>
                <w:highlight w:val="yellow"/>
                <w:lang w:val="en-US"/>
              </w:rPr>
            </w:r>
          </w:p>
        </w:tc>
      </w:tr>
      <w:tr>
        <w:tblPrEx/>
        <w:trPr>
          <w:trHeight w:val="824"/>
        </w:trPr>
        <w:tc>
          <w:tcPr>
            <w:shd w:val="clear" w:color="000000" w:fill="ffffff"/>
            <w:tcW w:w="426" w:type="pc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Себестоимость производимых товаров (оказываемых услуг) по регулируемому виду деятельности (тыс. рублей):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руб.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414745</w:t>
            </w:r>
            <w:r/>
          </w:p>
        </w:tc>
      </w:tr>
      <w:tr>
        <w:tblPrEx/>
        <w:trPr>
          <w:trHeight w:val="425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3.1.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Расходы на покупаемую тепловую энергию (мощность, потери)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руб.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250</w:t>
            </w:r>
            <w:r/>
          </w:p>
        </w:tc>
      </w:tr>
      <w:tr>
        <w:tblPrEx/>
        <w:trPr>
          <w:trHeight w:val="300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3.2.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Расходы на топливо всего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руб.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106046</w:t>
            </w:r>
            <w:r/>
          </w:p>
        </w:tc>
      </w:tr>
      <w:tr>
        <w:tblPrEx/>
        <w:trPr>
          <w:trHeight w:val="300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3.2.1.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Уголь бурый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руб.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106046</w:t>
            </w:r>
            <w:r/>
          </w:p>
        </w:tc>
      </w:tr>
      <w:tr>
        <w:tblPrEx/>
        <w:trPr>
          <w:trHeight w:val="300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3.2.2.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Цена топлива с учетом доставки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руб./тнт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1348</w:t>
            </w:r>
            <w:r/>
          </w:p>
        </w:tc>
      </w:tr>
      <w:tr>
        <w:tblPrEx/>
        <w:trPr>
          <w:trHeight w:val="214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3.2.3.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Объем топлива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тнт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rPr>
                <w:lang w:val="en-US"/>
              </w:rPr>
              <w:t xml:space="preserve">786</w:t>
            </w:r>
            <w:r>
              <w:t xml:space="preserve">79</w:t>
            </w:r>
            <w:r/>
          </w:p>
        </w:tc>
      </w:tr>
      <w:tr>
        <w:tblPrEx/>
        <w:trPr>
          <w:trHeight w:val="90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3.2.4.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Способ приобретения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ind w:left="-106"/>
              <w:jc w:val="center"/>
              <w:tabs>
                <w:tab w:val="left" w:pos="993" w:leader="none"/>
              </w:tabs>
            </w:pPr>
            <w:r>
              <w:t xml:space="preserve">торги / аукционы</w:t>
            </w:r>
            <w:r/>
          </w:p>
        </w:tc>
      </w:tr>
      <w:tr>
        <w:tblPrEx/>
        <w:trPr>
          <w:trHeight w:val="672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Расходы на электрическую энергию (мощность), потребляемую оборудованием, используемым в технологическом процессе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руб.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56110</w:t>
            </w:r>
            <w:r/>
          </w:p>
        </w:tc>
      </w:tr>
      <w:tr>
        <w:tblPrEx/>
        <w:trPr>
          <w:trHeight w:val="151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3.3.1.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средневзвешенная стоимость 1 кВт.ч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руб./кВт ч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3,</w:t>
            </w:r>
            <w:r>
              <w:t xml:space="preserve">03</w:t>
            </w:r>
            <w:r/>
          </w:p>
        </w:tc>
      </w:tr>
      <w:tr>
        <w:tblPrEx/>
        <w:trPr>
          <w:trHeight w:val="300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3.3.2.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объём энергии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тыс.кВт ч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13458</w:t>
            </w:r>
            <w:r/>
          </w:p>
        </w:tc>
      </w:tr>
      <w:tr>
        <w:tblPrEx/>
        <w:trPr>
          <w:trHeight w:val="450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3.4.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Расходы на приобретение холодной воды, используемой в технологическом процессе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руб.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7514</w:t>
            </w:r>
            <w:r/>
          </w:p>
        </w:tc>
      </w:tr>
      <w:tr>
        <w:tblPrEx/>
        <w:trPr>
          <w:trHeight w:val="248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3.5.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Расходы на химреагенты, используемые в технологическом процессе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руб.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891</w:t>
            </w:r>
            <w:r/>
          </w:p>
        </w:tc>
      </w:tr>
      <w:tr>
        <w:tblPrEx/>
        <w:trPr>
          <w:trHeight w:val="298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3.6.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Расходы на оплату труда и страховые взносы основного производственного персонала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руб.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144411</w:t>
            </w:r>
            <w:r/>
          </w:p>
        </w:tc>
      </w:tr>
      <w:tr>
        <w:tblPrEx/>
        <w:trPr>
          <w:trHeight w:val="348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3.7.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Расходы на амортизацию основных производственных средств и аренду имущества, используемого в технологическом процессе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руб.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18936</w:t>
            </w:r>
            <w:r/>
          </w:p>
        </w:tc>
      </w:tr>
      <w:tr>
        <w:tblPrEx/>
        <w:trPr>
          <w:trHeight w:val="420"/>
        </w:trPr>
        <w:tc>
          <w:tcPr>
            <w:shd w:val="clear" w:color="000000" w:fill="ffffff"/>
            <w:tcW w:w="426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3.8.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vAlign w:val="center"/>
            <w:vMerge w:val="restar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Расходы на ремонт (капитальный и текущий) основных производственных средств, в том числе справочно: расходы на оплату труда и страховые взносы ремонтного персонала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руб.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20035</w:t>
            </w:r>
            <w:r/>
          </w:p>
        </w:tc>
      </w:tr>
      <w:tr>
        <w:tblPrEx/>
        <w:trPr>
          <w:trHeight w:val="405"/>
        </w:trPr>
        <w:tc>
          <w:tcPr>
            <w:tcW w:w="426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2963" w:type="pct"/>
            <w:vAlign w:val="center"/>
            <w:vMerge w:val="continue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666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-</w:t>
            </w:r>
            <w:r/>
          </w:p>
        </w:tc>
      </w:tr>
      <w:tr>
        <w:tblPrEx/>
        <w:trPr>
          <w:trHeight w:val="671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3.9.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Расходы на услуги производственного характера, выполняемые по договорам с организациями на проведение регламентных работ в рамках технологического процесса &lt;3&gt;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руб.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39325</w:t>
            </w:r>
            <w:r/>
          </w:p>
        </w:tc>
      </w:tr>
      <w:tr>
        <w:tblPrEx/>
        <w:trPr>
          <w:trHeight w:val="65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Прибыль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руб.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-13765</w:t>
            </w:r>
            <w:r/>
          </w:p>
        </w:tc>
      </w:tr>
      <w:tr>
        <w:tblPrEx/>
        <w:trPr>
          <w:trHeight w:val="675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Размер расходования чистой прибыли на финансирование мероприятий, предусмотренных инвестиционной программой регулируемой организации по развитию системы теплоснабжения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руб.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27126</w:t>
            </w:r>
            <w:r/>
          </w:p>
        </w:tc>
      </w:tr>
      <w:tr>
        <w:tblPrEx/>
        <w:trPr>
          <w:trHeight w:val="238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Установленная тепловая мощность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Гкал/ч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110,8</w:t>
            </w:r>
            <w:r/>
          </w:p>
        </w:tc>
      </w:tr>
      <w:tr>
        <w:tblPrEx/>
        <w:trPr>
          <w:trHeight w:val="65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Присоединенная нагрузка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Гкал/ч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lang w:val="en-US"/>
              </w:rPr>
            </w:pPr>
            <w:r>
              <w:rPr>
                <w:lang w:val="en-US"/>
              </w:rPr>
              <w:t xml:space="preserve">62</w:t>
            </w:r>
            <w:r>
              <w:t xml:space="preserve">,</w:t>
            </w:r>
            <w:r>
              <w:rPr>
                <w:lang w:val="en-US"/>
              </w:rPr>
              <w:t xml:space="preserve">25</w:t>
            </w:r>
            <w:r>
              <w:rPr>
                <w:lang w:val="en-US"/>
              </w:rPr>
            </w:r>
            <w:r>
              <w:rPr>
                <w:lang w:val="en-US"/>
              </w:rPr>
            </w:r>
          </w:p>
        </w:tc>
      </w:tr>
      <w:tr>
        <w:tblPrEx/>
        <w:trPr>
          <w:trHeight w:val="65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Объем вырабатываемой тепловой энергии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Гкал.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234,414</w:t>
            </w:r>
            <w:r/>
          </w:p>
        </w:tc>
      </w:tr>
      <w:tr>
        <w:tblPrEx/>
        <w:trPr>
          <w:trHeight w:val="147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8.1.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Справочно: Объем тепловой энергии на технологические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нужды производства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Гкал.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14,</w:t>
            </w:r>
            <w:r>
              <w:t xml:space="preserve">411</w:t>
            </w:r>
            <w:r/>
          </w:p>
        </w:tc>
      </w:tr>
      <w:tr>
        <w:tblPrEx/>
        <w:trPr>
          <w:trHeight w:val="65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Объем покупаемой тепловой энергии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Гкал.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0,</w:t>
            </w:r>
            <w:r>
              <w:t xml:space="preserve">058</w:t>
            </w:r>
            <w:r/>
          </w:p>
        </w:tc>
      </w:tr>
      <w:tr>
        <w:tblPrEx/>
        <w:trPr>
          <w:trHeight w:val="74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vAlign w:val="center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Объем тепловой энергии, отпускаемой потребителям, в том числе: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Гкал.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182,908</w:t>
            </w:r>
            <w:r/>
          </w:p>
        </w:tc>
      </w:tr>
      <w:tr>
        <w:tblPrEx/>
        <w:trPr>
          <w:trHeight w:val="65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10.1.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vAlign w:val="center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по приборам учета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Гкал.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53,183</w:t>
            </w:r>
            <w:r/>
          </w:p>
        </w:tc>
      </w:tr>
      <w:tr>
        <w:tblPrEx/>
        <w:trPr>
          <w:trHeight w:val="65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10.2.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vAlign w:val="center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по нормативам потребления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Гкал.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129,</w:t>
            </w:r>
            <w:r>
              <w:t xml:space="preserve">725</w:t>
            </w:r>
            <w:r/>
          </w:p>
        </w:tc>
      </w:tr>
      <w:tr>
        <w:tblPrEx/>
        <w:trPr>
          <w:trHeight w:val="159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vAlign w:val="center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Технологические потери тепловой энергии при передаче по тепловым сетям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%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945" w:type="pct"/>
            <w:vAlign w:val="center"/>
            <w:textDirection w:val="lrTb"/>
            <w:noWrap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16,8</w:t>
            </w:r>
            <w:r/>
          </w:p>
        </w:tc>
      </w:tr>
      <w:tr>
        <w:tblPrEx/>
        <w:trPr>
          <w:trHeight w:val="67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Справочно: потери тепла через изоляцию труб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Г кал.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32,689</w:t>
            </w:r>
            <w:r/>
          </w:p>
        </w:tc>
      </w:tr>
      <w:tr>
        <w:tblPrEx/>
        <w:trPr>
          <w:trHeight w:val="86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Справочно: потери тепла через утечки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Гкал.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4,464</w:t>
            </w:r>
            <w:r/>
          </w:p>
        </w:tc>
      </w:tr>
      <w:tr>
        <w:tblPrEx/>
        <w:trPr>
          <w:trHeight w:val="300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Справочно: потери тепла, всего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Гкал.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37,153</w:t>
            </w:r>
            <w:r/>
          </w:p>
        </w:tc>
      </w:tr>
      <w:tr>
        <w:tblPrEx/>
        <w:trPr>
          <w:trHeight w:val="299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Протяженность тепловых сетей (в двухтрубном исчислении)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lang w:val="en-US"/>
              </w:rPr>
            </w:pPr>
            <w:r>
              <w:t xml:space="preserve">30,</w:t>
            </w:r>
            <w:r>
              <w:t xml:space="preserve">93</w:t>
            </w:r>
            <w:r>
              <w:rPr>
                <w:lang w:val="en-US"/>
              </w:rPr>
            </w:r>
            <w:r>
              <w:rPr>
                <w:lang w:val="en-US"/>
              </w:rPr>
            </w:r>
          </w:p>
        </w:tc>
      </w:tr>
      <w:tr>
        <w:tblPrEx/>
        <w:trPr>
          <w:trHeight w:val="222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Количество теплоэлектростанций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ед.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lang w:val="en-US"/>
              </w:rPr>
            </w:pPr>
            <w:r>
              <w:rPr>
                <w:lang w:val="en-US"/>
              </w:rPr>
              <w:t xml:space="preserve">-</w:t>
            </w:r>
            <w:r>
              <w:rPr>
                <w:lang w:val="en-US"/>
              </w:rPr>
            </w:r>
            <w:r>
              <w:rPr>
                <w:lang w:val="en-US"/>
              </w:rPr>
            </w:r>
          </w:p>
        </w:tc>
      </w:tr>
      <w:tr>
        <w:tblPrEx/>
        <w:trPr>
          <w:trHeight w:val="65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Количество тепловых станций и котельных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ед.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5</w:t>
            </w:r>
            <w:r/>
          </w:p>
        </w:tc>
      </w:tr>
      <w:tr>
        <w:tblPrEx/>
        <w:trPr>
          <w:trHeight w:val="65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Количество тепловых пунктов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ед.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highlight w:val="yellow"/>
              </w:rPr>
            </w:pPr>
            <w:r>
              <w:t xml:space="preserve">217</w:t>
            </w:r>
            <w:r>
              <w:rPr>
                <w:highlight w:val="yellow"/>
              </w:rPr>
            </w:r>
            <w:r>
              <w:rPr>
                <w:highlight w:val="yellow"/>
              </w:rPr>
            </w:r>
          </w:p>
        </w:tc>
      </w:tr>
      <w:tr>
        <w:tblPrEx/>
        <w:trPr>
          <w:trHeight w:val="200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Среднесписочная численность персонала, в том числе: основного производственного персонала (человек)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чел.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highlight w:val="yellow"/>
              </w:rPr>
            </w:pPr>
            <w:r>
              <w:t xml:space="preserve">143,3</w:t>
            </w:r>
            <w:r>
              <w:rPr>
                <w:highlight w:val="yellow"/>
              </w:rPr>
            </w:r>
            <w:r>
              <w:rPr>
                <w:highlight w:val="yellow"/>
              </w:rPr>
            </w:r>
          </w:p>
        </w:tc>
      </w:tr>
      <w:tr>
        <w:tblPrEx/>
        <w:trPr>
          <w:trHeight w:val="264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Удельный расход условного топлива на единицу тепловой энергии, отпускаемой в тепловую сеть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кг.у.т./Гкал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213,</w:t>
            </w:r>
            <w:r>
              <w:t xml:space="preserve">46</w:t>
            </w:r>
            <w:r/>
          </w:p>
        </w:tc>
      </w:tr>
      <w:tr>
        <w:tblPrEx/>
        <w:trPr>
          <w:trHeight w:val="300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Удельный расход электрической энергии на единицу тепловой энергии, отпускаемой в тепловую сеть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тыс. кВт.ч/Гкал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94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</w:pPr>
            <w:r/>
            <w:r/>
          </w:p>
        </w:tc>
      </w:tr>
      <w:tr>
        <w:tblPrEx/>
        <w:trPr>
          <w:trHeight w:val="208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Удельный расход холодной воды на единицу тепловой энергии, отпускаемой в тепловую сеть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6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куб.м/Гкал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945" w:type="pct"/>
            <w:vAlign w:val="center"/>
            <w:textDirection w:val="lrTb"/>
            <w:noWrap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2,91</w:t>
            </w:r>
            <w:r/>
          </w:p>
        </w:tc>
      </w:tr>
      <w:tr>
        <w:tblPrEx/>
        <w:trPr>
          <w:trHeight w:val="272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Вид деятельности организации (производство, передача и сбыт тепловой энергии)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666" w:type="pct"/>
            <w:vAlign w:val="center"/>
            <w:textDirection w:val="lrTb"/>
            <w:noWrap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945" w:type="pct"/>
            <w:vAlign w:val="center"/>
            <w:textDirection w:val="lrTb"/>
            <w:noWrap w:val="false"/>
          </w:tcPr>
          <w:p>
            <w:pPr>
              <w:ind w:left="-106"/>
              <w:jc w:val="center"/>
              <w:tabs>
                <w:tab w:val="left" w:pos="993" w:leader="none"/>
              </w:tabs>
            </w:pPr>
            <w:r>
              <w:t xml:space="preserve">передача тепловой энергии</w:t>
            </w:r>
            <w:r/>
          </w:p>
        </w:tc>
      </w:tr>
      <w:tr>
        <w:tblPrEx/>
        <w:trPr>
          <w:trHeight w:val="65"/>
        </w:trPr>
        <w:tc>
          <w:tcPr>
            <w:shd w:val="clear" w:color="000000" w:fill="ffffff"/>
            <w:tcW w:w="42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000000" w:fill="ffffff"/>
            <w:tcW w:w="2963" w:type="pct"/>
            <w:textDirection w:val="lrTb"/>
            <w:noWrap w:val="false"/>
          </w:tcPr>
          <w:p>
            <w:pPr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Затраты на оплату услуг по передаче тепловой энергии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666" w:type="pct"/>
            <w:vAlign w:val="center"/>
            <w:textDirection w:val="lrTb"/>
            <w:noWrap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945" w:type="pct"/>
            <w:vAlign w:val="center"/>
            <w:textDirection w:val="lrTb"/>
            <w:noWrap/>
          </w:tcPr>
          <w:p>
            <w:pPr>
              <w:jc w:val="center"/>
              <w:tabs>
                <w:tab w:val="left" w:pos="993" w:leader="none"/>
              </w:tabs>
            </w:pPr>
            <w:r>
              <w:t xml:space="preserve">38575</w:t>
            </w:r>
            <w:r/>
          </w:p>
        </w:tc>
      </w:tr>
    </w:tbl>
    <w:p>
      <w:pPr>
        <w:ind w:firstLine="709"/>
        <w:jc w:val="both"/>
        <w:tabs>
          <w:tab w:val="left" w:pos="993" w:leader="none"/>
        </w:tabs>
        <w:rPr>
          <w:rFonts w:eastAsiaTheme="minorEastAsia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993" w:leader="none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Реквизиты Восточно - Сибирская дирекция по тепловодоснабжению структурное подразделение центральной дирекции по тепловодоснабжению филиала ОАО «РЖД»: ОГРН 1037739877295, ИНН 7708503727, КПП 770801001; </w:t>
      </w:r>
      <w:r>
        <w:rPr>
          <w:rFonts w:eastAsiaTheme="minorHAnsi"/>
          <w:lang w:eastAsia="en-US"/>
        </w:rPr>
        <w:t xml:space="preserve">ОКПО 00083262; ОКАТО 45286555000; ОКОПФ 12247; дата государственной регистрации: «23» сентября 2003 года; </w:t>
      </w:r>
      <w:r>
        <w:rPr>
          <w:rFonts w:eastAsiaTheme="minorEastAsia"/>
          <w:shd w:val="clear" w:color="auto" w:fill="ffffff"/>
        </w:rPr>
        <w:t xml:space="preserve">юридический адрес: 107174, город Москва, Муниципальный Округ Басманный, улица Новая Басманная, дом 2/1 ст</w:t>
      </w:r>
      <w:r>
        <w:rPr>
          <w:rFonts w:eastAsiaTheme="minorEastAsia"/>
          <w:shd w:val="clear" w:color="auto" w:fill="ffffff"/>
        </w:rPr>
        <w:t xml:space="preserve">роение 1; адрес местонахождения 665001, город Тайшет, улица Транспортная, дом 14; размер уставного капитала: 2973302181000,00 рублей; руководитель: Генеральный Директор-Председатель Правления Белозёров Олег Валентинович; основный вид деятельности (ОКВЭД): </w:t>
      </w:r>
      <w:r>
        <w:rPr>
          <w:rFonts w:eastAsiaTheme="minorHAnsi"/>
          <w:shd w:val="clear" w:color="auto" w:fill="ffffff"/>
          <w:lang w:eastAsia="en-US"/>
        </w:rPr>
        <w:t xml:space="preserve">49.20</w:t>
      </w:r>
      <w:r>
        <w:rPr>
          <w:rFonts w:eastAsiaTheme="minorEastAsia"/>
          <w:shd w:val="clear" w:color="auto" w:fill="ffffff"/>
        </w:rPr>
        <w:t xml:space="preserve">- деятельность железнодорожного транспорта: грузовые перевозки.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Реквизиты филиала ОАО ИЭСК «Западные электрические сети»: ОГРН 1093850013762, ИНН 3812122706, КПП 381201001; </w:t>
      </w:r>
      <w:r>
        <w:rPr>
          <w:rFonts w:eastAsiaTheme="minorHAnsi"/>
          <w:lang w:eastAsia="en-US"/>
        </w:rPr>
        <w:t xml:space="preserve">ОКПО 77642878; ОКАТО 25401380000; ОКОПФ 12247; дата государственной регистрации: «30» июня 2009 года; </w:t>
      </w:r>
      <w:r>
        <w:rPr>
          <w:rFonts w:eastAsiaTheme="minorEastAsia"/>
          <w:shd w:val="clear" w:color="auto" w:fill="ffffff"/>
        </w:rPr>
        <w:t xml:space="preserve">юридический адрес: 664033, Иркутская область, город Иркутск, улица Лермонто</w:t>
      </w:r>
      <w:r>
        <w:rPr>
          <w:rFonts w:eastAsiaTheme="minorEastAsia"/>
          <w:shd w:val="clear" w:color="auto" w:fill="ffffff"/>
        </w:rPr>
        <w:t xml:space="preserve">ва, дом 257; адрес местонахождения 665002, город Тайшет, улица Энергетиков, дом 20, подстанция Тайшет-500; размер уставного капитала: 20729634297,00 рублей; руководитель: Генеральный директор Новиков Евгений Анатольевич; основный вид деятельности (ОКВЭД): </w:t>
      </w:r>
      <w:r>
        <w:rPr>
          <w:rFonts w:eastAsiaTheme="minorHAnsi"/>
          <w:shd w:val="clear" w:color="auto" w:fill="ffffff"/>
          <w:lang w:eastAsia="en-US"/>
        </w:rPr>
        <w:t xml:space="preserve">35.12</w:t>
      </w:r>
      <w:r>
        <w:rPr>
          <w:rFonts w:eastAsiaTheme="minorEastAsia"/>
          <w:shd w:val="clear" w:color="auto" w:fill="ffffff"/>
        </w:rPr>
        <w:t xml:space="preserve">- Передача электроэнергии и технологическое присоединение к распределительным электросетям.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Результаты хозяйственной деятельности </w:t>
      </w:r>
      <w:r>
        <w:rPr>
          <w:rFonts w:eastAsiaTheme="minorHAnsi"/>
          <w:lang w:eastAsia="en-US"/>
        </w:rPr>
        <w:t xml:space="preserve">теплоснабжающей и теплосетевой организации систем теплоснабжения </w:t>
      </w:r>
      <w:r>
        <w:t xml:space="preserve">ДТВ ОАО «РЖД»</w:t>
      </w:r>
      <w:r>
        <w:rPr>
          <w:rFonts w:eastAsiaTheme="minorHAnsi"/>
          <w:lang w:eastAsia="en-US"/>
        </w:rPr>
        <w:t xml:space="preserve"> и </w:t>
      </w:r>
      <w:r>
        <w:rPr>
          <w:rFonts w:eastAsiaTheme="minorEastAsia"/>
          <w:shd w:val="clear" w:color="auto" w:fill="ffffff"/>
        </w:rPr>
        <w:t xml:space="preserve">филиала ОАО ИЭСК «Западные электрические сети» </w:t>
      </w:r>
      <w:r>
        <w:rPr>
          <w:rFonts w:eastAsiaTheme="minorHAnsi"/>
          <w:lang w:eastAsia="en-US"/>
        </w:rPr>
        <w:t xml:space="preserve">за отчетный (базовый) 2022 год не раскрыты.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keepLines/>
        <w:keepNext/>
        <w:widowControl w:val="off"/>
        <w:rPr>
          <w:rFonts w:eastAsiaTheme="majorEastAsia"/>
          <w:bCs/>
          <w:shd w:val="clear" w:color="auto" w:fill="ffffff"/>
        </w:rPr>
      </w:pPr>
      <w:r/>
      <w:bookmarkStart w:id="71" w:name="_Toc149055601"/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</w:p>
    <w:p>
      <w:pPr>
        <w:jc w:val="center"/>
        <w:keepLines/>
        <w:keepNext/>
        <w:widowControl w:val="off"/>
        <w:rPr>
          <w:rFonts w:eastAsiaTheme="majorEastAsia"/>
          <w:bCs/>
          <w:shd w:val="clear" w:color="auto" w:fill="ffffff"/>
        </w:rPr>
      </w:pPr>
      <w:r>
        <w:rPr>
          <w:rFonts w:eastAsiaTheme="majorEastAsia"/>
          <w:bCs/>
          <w:shd w:val="clear" w:color="auto" w:fill="ffffff"/>
        </w:rPr>
        <w:t xml:space="preserve">Часть 11. Цены (</w:t>
      </w:r>
      <w:r>
        <w:rPr>
          <w:rFonts w:eastAsiaTheme="majorEastAsia"/>
          <w:bCs/>
        </w:rPr>
        <w:t xml:space="preserve">тарифы</w:t>
      </w:r>
      <w:r>
        <w:rPr>
          <w:rFonts w:eastAsiaTheme="majorEastAsia"/>
          <w:bCs/>
          <w:shd w:val="clear" w:color="auto" w:fill="ffffff"/>
        </w:rPr>
        <w:t xml:space="preserve">) в сфере теплоснабжения</w:t>
      </w:r>
      <w:bookmarkEnd w:id="71"/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</w:p>
    <w:p>
      <w:pPr>
        <w:jc w:val="center"/>
        <w:keepLines/>
        <w:keepNext/>
        <w:widowControl w:val="off"/>
        <w:rPr>
          <w:rFonts w:eastAsiaTheme="majorEastAsia"/>
          <w:bCs/>
          <w:shd w:val="clear" w:color="auto" w:fill="ffffff"/>
        </w:rPr>
      </w:pPr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  <w:r>
        <w:rPr>
          <w:rFonts w:eastAsiaTheme="majorEastAsia"/>
          <w:bCs/>
          <w:shd w:val="clear" w:color="auto" w:fill="ffffff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соответствии с действующим в сфере государственного ценового регулирования законодательством тариф на теп</w:t>
      </w:r>
      <w:r>
        <w:rPr>
          <w:rFonts w:eastAsiaTheme="minorHAnsi"/>
          <w:lang w:eastAsia="en-US"/>
        </w:rPr>
        <w:t xml:space="preserve">ловую энергию, отпускаемую организацией, должен обеспечивать покрытие как экономически обоснованных расходов организации, так и обеспечивать достаточные средства для финансирования мероприятий по надежному функционированию и развитию систем теплоснабжения.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Тариф устанав</w:t>
      </w:r>
      <w:r>
        <w:rPr>
          <w:rFonts w:eastAsiaTheme="minorHAnsi"/>
          <w:lang w:eastAsia="en-US"/>
        </w:rPr>
        <w:t xml:space="preserve">ливается органом исполнительной власти субъекта Российской Федерации в области государственного регулирования цен (тарифов) с учетом изменения экономически обоснованных расходов организации и возможных изменений условий реализации инвестиционной программы.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Законодательством определен ме</w:t>
      </w:r>
      <w:r>
        <w:rPr>
          <w:rFonts w:eastAsiaTheme="minorHAnsi"/>
          <w:lang w:eastAsia="en-US"/>
        </w:rPr>
        <w:t xml:space="preserve">ханизм ограничения предельной величины тарифов путем установления ежегодных предельных индексов роста, а также механизм ограничения предельной величины платы за жилищно-коммунальные услуги для граждан путем установления ежегодных предельных индексов роста.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Решение об установлении для организации тарифов на уровне выше предельного максимального принимается органом исполнит</w:t>
      </w:r>
      <w:r>
        <w:rPr>
          <w:rFonts w:eastAsiaTheme="minorHAnsi"/>
          <w:lang w:eastAsia="en-US"/>
        </w:rPr>
        <w:t xml:space="preserve">ельной власти субъекта Российской Федерации в области государственного регулирования тарифов (цен) самостоятельно и не требует согласования с федеральным органом исполнительной власти в области государственного регулирования тарифов в сфере теплоснабжения.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Служба по тарифам Иркутской области является органом исполнительной власти, осуществляющим государственное регулирование цен (тарифов) на территории Иркутской </w:t>
      </w:r>
      <w:r>
        <w:rPr>
          <w:rFonts w:eastAsiaTheme="minorHAnsi"/>
          <w:lang w:eastAsia="en-US"/>
        </w:rPr>
        <w:t xml:space="preserve">области в электроэнергетике, теплоэнергетике, коммунальном комплексе, газовом комплексе, на транспортные услуги, а также на иные виды товаров (работ, услуг), подлежащих государственному регулированию в соответствии с законодательством Российской Федерации.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="Calibri"/>
          <w:spacing w:val="-1"/>
          <w:shd w:val="clear" w:color="auto" w:fill="ffffff"/>
          <w:lang w:eastAsia="en-US"/>
        </w:rPr>
      </w:pPr>
      <w:r>
        <w:rPr>
          <w:rFonts w:eastAsiaTheme="minorHAnsi"/>
          <w:lang w:eastAsia="en-US"/>
        </w:rPr>
        <w:t xml:space="preserve">Формирование себестоимости 1 Гкал тепловой энергии осуществляется отдельно по статьям калькуляционных расходов. </w:t>
      </w:r>
      <w:r>
        <w:rPr>
          <w:rFonts w:eastAsia="Calibri"/>
          <w:spacing w:val="-1"/>
          <w:lang w:eastAsia="en-US"/>
        </w:rPr>
        <w:t xml:space="preserve">Структура затрат, участвующих в формировании тарифа на тепловую энергию от котельных АО «Байкалэнерго» представлена в части 10 главы 1</w:t>
      </w:r>
      <w:r>
        <w:rPr>
          <w:rFonts w:eastAsia="Calibri"/>
          <w:spacing w:val="-1"/>
          <w:shd w:val="clear" w:color="auto" w:fill="ffffff"/>
          <w:lang w:eastAsia="en-US"/>
        </w:rPr>
        <w:t xml:space="preserve"> Таблица 32 Обосновывающих материалов схемы теплоснабжения.</w:t>
      </w:r>
      <w:r>
        <w:rPr>
          <w:rFonts w:eastAsia="Calibri"/>
          <w:spacing w:val="-1"/>
          <w:shd w:val="clear" w:color="auto" w:fill="ffffff"/>
          <w:lang w:eastAsia="en-US"/>
        </w:rPr>
      </w:r>
      <w:r>
        <w:rPr>
          <w:rFonts w:eastAsia="Calibri"/>
          <w:spacing w:val="-1"/>
          <w:shd w:val="clear" w:color="auto" w:fill="ffffff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Структура цен (тарифов) на тепловую энергию на территории Тайшетского городского поселения формируется одноставочным тарифом.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Плата за услуги по поддержанию резервной тепловой мощности АО «Байкалэнерго» не взимается.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Плата за услуги по поддержанию резервной тепловой мощности в отношении ОАО «РЖД» (электрокотельная) составляет </w:t>
      </w:r>
      <w:r>
        <w:rPr>
          <w:rFonts w:eastAsiaTheme="minorEastAsia"/>
        </w:rPr>
        <w:t xml:space="preserve">66,84</w:t>
      </w:r>
      <w:r>
        <w:rPr>
          <w:rFonts w:eastAsiaTheme="minorEastAsia"/>
        </w:rPr>
        <w:t xml:space="preserve"> тысяч рублей за Гкал/час в месяц.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Существующие долгосрочные тарифы установлены следующими нормативными актами: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1) Приказ Службы по тарифам Иркутской области от 20 декабря 2021 года № 79-413-спр «Об уста</w:t>
      </w:r>
      <w:r>
        <w:rPr>
          <w:rFonts w:eastAsiaTheme="minorHAnsi"/>
          <w:lang w:eastAsia="en-US"/>
        </w:rPr>
        <w:t xml:space="preserve">новлении долгосрочных тарифов на тепловую энергию в отношении единой теплоснабжающей организации на территории Тайшетского муниципального образования «Тайшетское городское поселение» в соответствующей зоне деятельности (АО "Байкалэнерго", ИНН 3808108339)» </w:t>
      </w:r>
      <w:r>
        <w:t xml:space="preserve">(в редакции № 79-477-спр от 20 декабря 2023 года);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2) Приказ Службы по тарифам Иркутской области от 28 ноября 2022 года № 79-556-спр «Об установлении долгосрочных тарифов на тепловую энергию, поставляемую потребителям ОАО "РЖД" (ИНН 7708503727) на территории Иркутской области»;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3) Приказ Службы по тарифам Иркутской области от 09 декабря 2021 года № 79-351-спр «Об установлении долгосрочных тарифов на тепловую энергию, поставляемую потребителям ОАО «Иркутская электросетевая компания» (ИНН 3812122706)»</w:t>
      </w:r>
      <w:r>
        <w:t xml:space="preserve"> (в редакции № 79-427-спр от 28 ноября 2022 года).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="Calibri"/>
          <w:spacing w:val="-1"/>
          <w:lang w:eastAsia="en-US"/>
        </w:rPr>
        <w:t xml:space="preserve">Динамика</w:t>
      </w:r>
      <w:r>
        <w:rPr>
          <w:rFonts w:eastAsiaTheme="minorEastAsia"/>
          <w:shd w:val="clear" w:color="auto" w:fill="ffffff"/>
        </w:rPr>
        <w:t xml:space="preserve"> утвержденных цен (тарифов), установленных Службой по тарифам Иркутской области на тепловую энергию </w:t>
      </w:r>
      <w:r>
        <w:rPr>
          <w:rFonts w:eastAsia="Calibri"/>
          <w:spacing w:val="-1"/>
          <w:lang w:eastAsia="en-US"/>
        </w:rPr>
        <w:t xml:space="preserve">энергоснабжающих организаций города Тайшета, </w:t>
      </w:r>
      <w:r>
        <w:rPr>
          <w:rFonts w:eastAsiaTheme="minorEastAsia"/>
          <w:shd w:val="clear" w:color="auto" w:fill="ffffff"/>
        </w:rPr>
        <w:t xml:space="preserve">представлена в Таблице 33.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right="-285"/>
        <w:jc w:val="right"/>
        <w:widowControl w:val="off"/>
        <w:tabs>
          <w:tab w:val="left" w:pos="993" w:leader="none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right="-285"/>
        <w:jc w:val="right"/>
        <w:widowControl w:val="off"/>
        <w:tabs>
          <w:tab w:val="left" w:pos="993" w:leader="none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right="-285"/>
        <w:jc w:val="right"/>
        <w:widowControl w:val="off"/>
        <w:tabs>
          <w:tab w:val="left" w:pos="993" w:leader="none"/>
        </w:tabs>
        <w:rPr>
          <w:rFonts w:eastAsiaTheme="minorEastAsia"/>
          <w:shd w:val="clear" w:color="auto" w:fill="ffffff"/>
        </w:rPr>
        <w:sectPr>
          <w:footnotePr/>
          <w:endnotePr/>
          <w:type w:val="nextPage"/>
          <w:pgSz w:w="11906" w:h="16838" w:orient="portrait"/>
          <w:pgMar w:top="1134" w:right="851" w:bottom="1134" w:left="1701" w:header="340" w:footer="0" w:gutter="0"/>
          <w:cols w:num="1" w:sep="0" w:space="708" w:equalWidth="1"/>
          <w:docGrid w:linePitch="360"/>
          <w:titlePg/>
        </w:sectPr>
      </w:pP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right="-285"/>
        <w:jc w:val="right"/>
        <w:widowControl w:val="off"/>
        <w:tabs>
          <w:tab w:val="left" w:pos="993" w:leader="none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33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right="-285"/>
        <w:jc w:val="center"/>
        <w:widowControl w:val="off"/>
        <w:tabs>
          <w:tab w:val="left" w:pos="993" w:leader="none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Размер </w:t>
      </w:r>
      <w:r>
        <w:rPr>
          <w:rFonts w:eastAsiaTheme="minorEastAsia"/>
          <w:shd w:val="clear" w:color="auto" w:fill="ffffff"/>
        </w:rPr>
        <w:t xml:space="preserve">установленных цен (тарифов) на тепловую энергию на территории 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right="-285"/>
        <w:jc w:val="center"/>
        <w:widowControl w:val="off"/>
        <w:tabs>
          <w:tab w:val="left" w:pos="993" w:leader="none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Тайшетского городского поселения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tbl>
      <w:tblPr>
        <w:tblW w:w="15593" w:type="dxa"/>
        <w:tblInd w:w="-34" w:type="dxa"/>
        <w:tblLayout w:type="fixed"/>
        <w:tblLook w:val="00A0" w:firstRow="1" w:lastRow="0" w:firstColumn="1" w:lastColumn="0" w:noHBand="0" w:noVBand="0"/>
      </w:tblPr>
      <w:tblGrid>
        <w:gridCol w:w="1843"/>
        <w:gridCol w:w="1843"/>
        <w:gridCol w:w="1559"/>
        <w:gridCol w:w="1701"/>
        <w:gridCol w:w="1701"/>
        <w:gridCol w:w="1701"/>
        <w:gridCol w:w="1701"/>
        <w:gridCol w:w="1843"/>
        <w:gridCol w:w="1701"/>
      </w:tblGrid>
      <w:tr>
        <w:tblPrEx/>
        <w:trPr>
          <w:trHeight w:val="263"/>
        </w:trPr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84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Наименование организации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Категория потребителей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07" w:type="dxa"/>
            <w:vAlign w:val="bottom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Тарифы на тепловую энергию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30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84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01.01.2021 по 30.06.2021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01.07.2021 по 30.06.2022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01.07.2022 по 01.12.2022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01.12.2022 по 30.06.2024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01.07.2024 по 30.06.2025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01.07.2025 по 30.06.2026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01.07.2026 по 31.12.2026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357"/>
        </w:trPr>
        <w:tc>
          <w:tcPr>
            <w:tcBorders>
              <w:top w:val="non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84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Население (руб./Гкал с НДС)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1836,0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1905,76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1972,46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2169,70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2397,5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843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2685,20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2953,72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677"/>
        </w:trPr>
        <w:tc>
          <w:tcPr>
            <w:tcBorders>
              <w:top w:val="non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84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Промышленные объекты (руб./Гкал без НДС)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1696,26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1739,04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1877,06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2220,89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2485,64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843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2628,97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3715,44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546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Социальные учреждения (руб./Гкал без НДС)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1696,26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1739,04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1877,06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2220,89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2485,64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843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2628,97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3715,44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</w:tbl>
    <w:p>
      <w:pPr>
        <w:jc w:val="both"/>
        <w:widowControl w:val="off"/>
        <w:rPr>
          <w:rFonts w:eastAsiaTheme="minorHAnsi"/>
          <w:spacing w:val="1"/>
          <w:shd w:val="clear" w:color="auto" w:fill="ffffff"/>
          <w:lang w:eastAsia="en-US"/>
        </w:rPr>
      </w:pPr>
      <w:r>
        <w:rPr>
          <w:rFonts w:eastAsiaTheme="minorHAnsi"/>
          <w:spacing w:val="1"/>
          <w:shd w:val="clear" w:color="auto" w:fill="ffffff"/>
          <w:lang w:eastAsia="en-US"/>
        </w:rPr>
      </w:r>
      <w:r>
        <w:rPr>
          <w:rFonts w:eastAsiaTheme="minorHAnsi"/>
          <w:spacing w:val="1"/>
          <w:shd w:val="clear" w:color="auto" w:fill="ffffff"/>
          <w:lang w:eastAsia="en-US"/>
        </w:rPr>
      </w:r>
      <w:r>
        <w:rPr>
          <w:rFonts w:eastAsiaTheme="minorHAnsi"/>
          <w:spacing w:val="1"/>
          <w:shd w:val="clear" w:color="auto" w:fill="ffffff"/>
          <w:lang w:eastAsia="en-US"/>
        </w:rPr>
      </w:r>
    </w:p>
    <w:tbl>
      <w:tblPr>
        <w:tblW w:w="15593" w:type="dxa"/>
        <w:tblInd w:w="-34" w:type="dxa"/>
        <w:tblLayout w:type="fixed"/>
        <w:tblLook w:val="00A0" w:firstRow="1" w:lastRow="0" w:firstColumn="1" w:lastColumn="0" w:noHBand="0" w:noVBand="0"/>
      </w:tblPr>
      <w:tblGrid>
        <w:gridCol w:w="1843"/>
        <w:gridCol w:w="2127"/>
        <w:gridCol w:w="1559"/>
        <w:gridCol w:w="1559"/>
        <w:gridCol w:w="1559"/>
        <w:gridCol w:w="1701"/>
        <w:gridCol w:w="1701"/>
        <w:gridCol w:w="1843"/>
        <w:gridCol w:w="1701"/>
      </w:tblGrid>
      <w:tr>
        <w:tblPrEx/>
        <w:trPr>
          <w:trHeight w:val="263"/>
          <w:tblHeader/>
        </w:trPr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84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Наименование организации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Категория потребителей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623" w:type="dxa"/>
            <w:vAlign w:val="bottom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Тарифы на горячее водоснабжение с использованием открытой системы теплоснабжения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391"/>
          <w:tblHeader/>
        </w:trPr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84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01.01.2021 по 30.06.2021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01.07.2021 по 30.06.2022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01.07.2022 по 30.06.2023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01.12.2022 по 30.06.2024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01.07.2024 по 30.06.2025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01.07.2025 по 30.06.2026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01.07.2026 по 31.12.2026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357"/>
        </w:trPr>
        <w:tc>
          <w:tcPr>
            <w:tcBorders>
              <w:top w:val="non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84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Население. Компонент на теплоноситель (руб./куб.м с НДС)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val="en-US" w:eastAsia="en-US"/>
              </w:rPr>
              <w:t xml:space="preserve">33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,79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35,04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36,26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39,88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43,68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843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48,92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68,72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357"/>
        </w:trPr>
        <w:tc>
          <w:tcPr>
            <w:tcBorders>
              <w:top w:val="non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84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Население. Компонент на тепловую энергию (руб./Гкал с НДС)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1887,29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1959,46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2028,04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2230,84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2470,91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843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2767,40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3044,14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677"/>
        </w:trPr>
        <w:tc>
          <w:tcPr>
            <w:tcBorders>
              <w:top w:val="non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84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7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Промышленные объекты. Компонент на теплоноситель (руб./куб.м без НДС)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28,16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29,20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31,99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33,64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36,40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843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40,77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57,27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332"/>
        </w:trPr>
        <w:tc>
          <w:tcPr>
            <w:tcBorders>
              <w:top w:val="non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84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Промышленные объекты. Компонент на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тепловую энергию (руб./Гкал без НДС)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1696,26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1739,04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1877,06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2220,89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2485,64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843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2628,97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3715,44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546"/>
        </w:trPr>
        <w:tc>
          <w:tcPr>
            <w:tcBorders>
              <w:top w:val="none" w:color="000000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84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7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Социальные учреждения. Компонент на теплоноситель (руб./куб.м без НДС)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28,16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29,20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31,99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33,64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36,40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843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40,77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57,27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546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7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Социальные учреждения. Компонент на тепловую энергию (руб./Гкал без НДС)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1696,26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1739,04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1877,06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2220,89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2485,64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843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2628,97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3715,44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</w:tbl>
    <w:p>
      <w:pPr>
        <w:jc w:val="center"/>
        <w:widowControl w:val="off"/>
        <w:rPr>
          <w:rFonts w:eastAsiaTheme="minorHAnsi"/>
          <w:spacing w:val="1"/>
          <w:sz w:val="22"/>
          <w:szCs w:val="22"/>
          <w:shd w:val="clear" w:color="auto" w:fill="ffffff"/>
          <w:lang w:eastAsia="en-US"/>
        </w:rPr>
      </w:pPr>
      <w:r>
        <w:rPr>
          <w:rFonts w:eastAsiaTheme="minorHAnsi"/>
          <w:spacing w:val="1"/>
          <w:sz w:val="22"/>
          <w:szCs w:val="22"/>
          <w:shd w:val="clear" w:color="auto" w:fill="ffffff"/>
          <w:lang w:eastAsia="en-US"/>
        </w:rPr>
      </w:r>
      <w:r>
        <w:rPr>
          <w:rFonts w:eastAsiaTheme="minorHAnsi"/>
          <w:spacing w:val="1"/>
          <w:sz w:val="22"/>
          <w:szCs w:val="22"/>
          <w:shd w:val="clear" w:color="auto" w:fill="ffffff"/>
          <w:lang w:eastAsia="en-US"/>
        </w:rPr>
      </w:r>
      <w:r>
        <w:rPr>
          <w:rFonts w:eastAsiaTheme="minorHAnsi"/>
          <w:spacing w:val="1"/>
          <w:sz w:val="22"/>
          <w:szCs w:val="22"/>
          <w:shd w:val="clear" w:color="auto" w:fill="ffffff"/>
          <w:lang w:eastAsia="en-US"/>
        </w:rPr>
      </w:r>
    </w:p>
    <w:tbl>
      <w:tblPr>
        <w:tblW w:w="15593" w:type="dxa"/>
        <w:tblInd w:w="-34" w:type="dxa"/>
        <w:tblLayout w:type="fixed"/>
        <w:tblLook w:val="00A0" w:firstRow="1" w:lastRow="0" w:firstColumn="1" w:lastColumn="0" w:noHBand="0" w:noVBand="0"/>
      </w:tblPr>
      <w:tblGrid>
        <w:gridCol w:w="3334"/>
        <w:gridCol w:w="1746"/>
        <w:gridCol w:w="1441"/>
        <w:gridCol w:w="1418"/>
        <w:gridCol w:w="1559"/>
        <w:gridCol w:w="1559"/>
        <w:gridCol w:w="1559"/>
        <w:gridCol w:w="1418"/>
        <w:gridCol w:w="1559"/>
      </w:tblGrid>
      <w:tr>
        <w:tblPrEx/>
        <w:trPr>
          <w:trHeight w:val="315"/>
        </w:trPr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33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Наименование организации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4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Категория потребителей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513" w:type="dxa"/>
            <w:vAlign w:val="bottom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Тарифы на тепловую энергию (руб./Гкал с НДС)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369"/>
        </w:trPr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33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4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center"/>
            <w:textDirection w:val="lrTb"/>
            <w:noWrap/>
          </w:tcPr>
          <w:p>
            <w:pPr>
              <w:ind w:left="-84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01.01.2022 по 30.06.2022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8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01.07.2022 по 30.11.2022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01.12.2022 по 30.06.2024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01.07.2024 по 30.06.2025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01.07.2025 по 30.06.2026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8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01.07.2026 по 30.06.2027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01.07.2027 по 31.12.2027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135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334" w:type="dxa"/>
            <w:vMerge w:val="restart"/>
            <w:textDirection w:val="lrTb"/>
            <w:noWrap w:val="false"/>
          </w:tcPr>
          <w:p>
            <w:pPr>
              <w:ind w:left="-108" w:right="-177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Восточно - Сибирская дирекция по тепловодоснабжению структурное подразделение центральной дирекции по тепловодоснабжению филиала ОАО «РЖД»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4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Население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2201,54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8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2289,6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2506,43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2664,32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2805,52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8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2917,74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3034,44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437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3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4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Промышленные объекты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2068,33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8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4037,0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4322,42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4486,19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4655,86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8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4826,82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4999,10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488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3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4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Социальные учреждения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2068,33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8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4037,0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4322,42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4486,19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4655,86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18" w:type="dxa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4826,82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4999,10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</w:tbl>
    <w:p>
      <w:pPr>
        <w:jc w:val="both"/>
        <w:widowControl w:val="off"/>
        <w:rPr>
          <w:rFonts w:eastAsiaTheme="minorHAnsi"/>
          <w:spacing w:val="1"/>
          <w:shd w:val="clear" w:color="auto" w:fill="ffffff"/>
          <w:lang w:eastAsia="en-US"/>
        </w:rPr>
      </w:pPr>
      <w:r>
        <w:rPr>
          <w:rFonts w:eastAsiaTheme="minorHAnsi"/>
          <w:spacing w:val="1"/>
          <w:shd w:val="clear" w:color="auto" w:fill="ffffff"/>
          <w:lang w:eastAsia="en-US"/>
        </w:rPr>
      </w:r>
      <w:r>
        <w:rPr>
          <w:rFonts w:eastAsiaTheme="minorHAnsi"/>
          <w:spacing w:val="1"/>
          <w:shd w:val="clear" w:color="auto" w:fill="ffffff"/>
          <w:lang w:eastAsia="en-US"/>
        </w:rPr>
      </w:r>
      <w:r>
        <w:rPr>
          <w:rFonts w:eastAsiaTheme="minorHAnsi"/>
          <w:spacing w:val="1"/>
          <w:shd w:val="clear" w:color="auto" w:fill="ffffff"/>
          <w:lang w:eastAsia="en-US"/>
        </w:rPr>
      </w:r>
    </w:p>
    <w:tbl>
      <w:tblPr>
        <w:tblW w:w="5033" w:type="pct"/>
        <w:tblInd w:w="-34" w:type="dxa"/>
        <w:tblLayout w:type="fixed"/>
        <w:tblLook w:val="00A0" w:firstRow="1" w:lastRow="0" w:firstColumn="1" w:lastColumn="0" w:noHBand="0" w:noVBand="0"/>
      </w:tblPr>
      <w:tblGrid>
        <w:gridCol w:w="3687"/>
        <w:gridCol w:w="2692"/>
        <w:gridCol w:w="1561"/>
        <w:gridCol w:w="1700"/>
        <w:gridCol w:w="1984"/>
        <w:gridCol w:w="1842"/>
        <w:gridCol w:w="1987"/>
      </w:tblGrid>
      <w:tr>
        <w:tblPrEx/>
        <w:trPr>
          <w:trHeight w:val="367"/>
          <w:tblHeader/>
        </w:trPr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193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Наименование организации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71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Категория  потребителей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5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936" w:type="pct"/>
            <w:vAlign w:val="bottom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Тарифы на тепловую энергию (руб./Гкал с НДС)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816"/>
          <w:tblHeader/>
        </w:trPr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193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71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5" w:type="pct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15.02.2021по 30.06.2021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50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01.07.2021по 30.06.2022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4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01.07.2022 по 30.06.2023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96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01.07.2023 по 31.12.2023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4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 01.07.2024 по 31.12.2024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190"/>
        </w:trPr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193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ОАО "Иркутская электросетевая  компания" (с 15.02.2021)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1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Население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5" w:type="pct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1130,81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50" w:type="pct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1173,78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42" w:type="pct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1214,86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96" w:type="pct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1263,44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43" w:type="pct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1313,96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8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1193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1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Промышленные объекты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5" w:type="pct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5269,96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50" w:type="pct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5269,96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42" w:type="pct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6063,04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96" w:type="pct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6277,23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43" w:type="pct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6492,82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360"/>
        </w:trPr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3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1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Социальные учреждения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05" w:type="pct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5269,96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50" w:type="pct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5269,96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42" w:type="pct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6063,04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596" w:type="pct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6277,23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43" w:type="pct"/>
            <w:vAlign w:val="center"/>
            <w:textDirection w:val="lrTb"/>
            <w:noWrap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6492,82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</w:tbl>
    <w:p>
      <w:pPr>
        <w:ind w:right="-285"/>
        <w:jc w:val="center"/>
        <w:widowControl w:val="off"/>
        <w:tabs>
          <w:tab w:val="left" w:pos="993" w:leader="none"/>
        </w:tabs>
        <w:rPr>
          <w:rFonts w:eastAsiaTheme="minorEastAsia"/>
          <w:shd w:val="clear" w:color="auto" w:fill="ffffff"/>
        </w:rPr>
        <w:sectPr>
          <w:footnotePr/>
          <w:endnotePr/>
          <w:type w:val="nextPage"/>
          <w:pgSz w:w="16838" w:h="11906" w:orient="landscape"/>
          <w:pgMar w:top="1701" w:right="851" w:bottom="851" w:left="851" w:header="340" w:footer="0" w:gutter="0"/>
          <w:cols w:num="1" w:sep="0" w:space="708" w:equalWidth="1"/>
          <w:docGrid w:linePitch="360"/>
          <w:titlePg/>
        </w:sectPr>
      </w:pP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keepLines/>
        <w:keepNext/>
        <w:widowControl w:val="off"/>
        <w:rPr>
          <w:rFonts w:eastAsiaTheme="majorEastAsia"/>
          <w:bCs/>
        </w:rPr>
      </w:pPr>
      <w:r/>
      <w:bookmarkStart w:id="72" w:name="_Toc149055602"/>
      <w:r>
        <w:rPr>
          <w:rFonts w:eastAsiaTheme="majorEastAsia"/>
          <w:bCs/>
        </w:rPr>
        <w:t xml:space="preserve">Часть 12. Описание существующих технических и технологических проблем в системах теплоснабжения Тайшетского городского поселения</w:t>
      </w:r>
      <w:bookmarkEnd w:id="72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jc w:val="center"/>
        <w:keepLines/>
        <w:keepNext/>
        <w:widowControl w:val="off"/>
        <w:rPr>
          <w:rFonts w:eastAsiaTheme="majorEastAsia"/>
          <w:bCs/>
        </w:rPr>
      </w:pPr>
      <w:r>
        <w:rPr>
          <w:rFonts w:eastAsiaTheme="majorEastAsia"/>
          <w:bCs/>
        </w:rPr>
      </w:r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tabs>
          <w:tab w:val="left" w:pos="1239" w:leader="none"/>
        </w:tabs>
        <w:rPr>
          <w:rFonts w:eastAsiaTheme="minorEastAsia"/>
          <w:bCs/>
          <w:spacing w:val="2"/>
          <w:shd w:val="clear" w:color="auto" w:fill="ffffff"/>
        </w:rPr>
      </w:pPr>
      <w:r>
        <w:rPr>
          <w:rFonts w:eastAsiaTheme="minorEastAsia"/>
          <w:bCs/>
          <w:spacing w:val="-2"/>
          <w:shd w:val="clear" w:color="auto" w:fill="ffffff"/>
          <w:lang w:eastAsia="en-US"/>
        </w:rPr>
        <w:t xml:space="preserve">Существующие проблемы организации качественного теплоснабжения (перечень причин, приводящих к снижению качества теплоснабжения, включая проблемы в работе теплопотребляющих установок потребителей).</w:t>
      </w:r>
      <w:r>
        <w:rPr>
          <w:rFonts w:eastAsiaTheme="minorEastAsia"/>
          <w:bCs/>
          <w:spacing w:val="2"/>
          <w:shd w:val="clear" w:color="auto" w:fill="ffffff"/>
        </w:rPr>
      </w:r>
      <w:r>
        <w:rPr>
          <w:rFonts w:eastAsiaTheme="minorEastAsia"/>
          <w:bCs/>
          <w:spacing w:val="2"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Theme="minorEastAsia"/>
          <w:spacing w:val="1"/>
          <w:shd w:val="clear" w:color="auto" w:fill="ffffff"/>
        </w:rPr>
      </w:pPr>
      <w:r>
        <w:rPr>
          <w:rFonts w:eastAsiaTheme="minorEastAsia"/>
          <w:spacing w:val="-1"/>
          <w:shd w:val="clear" w:color="auto" w:fill="ffffff"/>
          <w:lang w:eastAsia="en-US"/>
        </w:rPr>
        <w:t xml:space="preserve">Проведя анализ существующего положение в сфере производства, передачи и потребления тепловой энергии для целей теплоснабжения, указанных выше, выявлены следующие проблемы организации качественного, надежного и безопасного теплоснабжения:</w:t>
      </w:r>
      <w:r>
        <w:rPr>
          <w:rFonts w:eastAsiaTheme="minorEastAsia"/>
          <w:spacing w:val="1"/>
          <w:shd w:val="clear" w:color="auto" w:fill="ffffff"/>
        </w:rPr>
      </w:r>
      <w:r>
        <w:rPr>
          <w:rFonts w:eastAsiaTheme="minorEastAsia"/>
          <w:spacing w:val="1"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Theme="minorEastAsia"/>
          <w:spacing w:val="1"/>
          <w:shd w:val="clear" w:color="auto" w:fill="ffffff"/>
        </w:rPr>
      </w:pPr>
      <w:r>
        <w:rPr>
          <w:rFonts w:eastAsiaTheme="minorEastAsia"/>
          <w:spacing w:val="-1"/>
          <w:shd w:val="clear" w:color="auto" w:fill="ffffff"/>
          <w:lang w:eastAsia="en-US"/>
        </w:rPr>
        <w:t xml:space="preserve">отсутствие коммерческих приборов учета тепловой энергии у потребителей;</w:t>
      </w:r>
      <w:r>
        <w:rPr>
          <w:rFonts w:eastAsiaTheme="minorEastAsia"/>
          <w:spacing w:val="1"/>
          <w:shd w:val="clear" w:color="auto" w:fill="ffffff"/>
        </w:rPr>
      </w:r>
      <w:r>
        <w:rPr>
          <w:rFonts w:eastAsiaTheme="minorEastAsia"/>
          <w:spacing w:val="1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709" w:leader="none"/>
        </w:tabs>
        <w:rPr>
          <w:rFonts w:eastAsiaTheme="minorEastAsia"/>
          <w:spacing w:val="1"/>
          <w:shd w:val="clear" w:color="auto" w:fill="ffffff"/>
        </w:rPr>
      </w:pPr>
      <w:r>
        <w:rPr>
          <w:rFonts w:eastAsiaTheme="minorEastAsia"/>
          <w:spacing w:val="-1"/>
          <w:shd w:val="clear" w:color="auto" w:fill="ffffff"/>
          <w:lang w:eastAsia="en-US"/>
        </w:rPr>
        <w:t xml:space="preserve">отсутствие автоматизации котельных;</w:t>
      </w:r>
      <w:r>
        <w:rPr>
          <w:rFonts w:eastAsiaTheme="minorEastAsia"/>
          <w:spacing w:val="1"/>
          <w:shd w:val="clear" w:color="auto" w:fill="ffffff"/>
        </w:rPr>
      </w:r>
      <w:r>
        <w:rPr>
          <w:rFonts w:eastAsiaTheme="minorEastAsia"/>
          <w:spacing w:val="1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709" w:leader="none"/>
        </w:tabs>
        <w:rPr>
          <w:rFonts w:eastAsiaTheme="minorEastAsia"/>
          <w:spacing w:val="1"/>
          <w:shd w:val="clear" w:color="auto" w:fill="ffffff"/>
        </w:rPr>
      </w:pPr>
      <w:r>
        <w:rPr>
          <w:rFonts w:eastAsiaTheme="minorEastAsia"/>
          <w:spacing w:val="-1"/>
          <w:shd w:val="clear" w:color="auto" w:fill="ffffff"/>
          <w:lang w:eastAsia="en-US"/>
        </w:rPr>
        <w:t xml:space="preserve">отсутствие качественной гидравлической наладки тепловых сетей и внутридомовых инженерных систем многоквартирных домов;</w:t>
      </w:r>
      <w:r>
        <w:rPr>
          <w:rFonts w:eastAsiaTheme="minorEastAsia"/>
          <w:spacing w:val="1"/>
          <w:shd w:val="clear" w:color="auto" w:fill="ffffff"/>
        </w:rPr>
      </w:r>
      <w:r>
        <w:rPr>
          <w:rFonts w:eastAsiaTheme="minorEastAsia"/>
          <w:spacing w:val="1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709" w:leader="none"/>
        </w:tabs>
        <w:rPr>
          <w:rFonts w:eastAsiaTheme="minorEastAsia"/>
          <w:spacing w:val="-1"/>
          <w:shd w:val="clear" w:color="auto" w:fill="ffffff"/>
          <w:lang w:eastAsia="en-US"/>
        </w:rPr>
      </w:pPr>
      <w:r>
        <w:rPr>
          <w:rFonts w:eastAsiaTheme="minorEastAsia"/>
          <w:spacing w:val="-1"/>
          <w:shd w:val="clear" w:color="auto" w:fill="ffffff"/>
          <w:lang w:eastAsia="en-US"/>
        </w:rPr>
        <w:t xml:space="preserve">высокий процент износа основного и вспомогательного оборудования котельных, тепловых сетей;</w:t>
      </w:r>
      <w:r>
        <w:rPr>
          <w:rFonts w:eastAsiaTheme="minorEastAsia"/>
          <w:spacing w:val="-1"/>
          <w:shd w:val="clear" w:color="auto" w:fill="ffffff"/>
          <w:lang w:eastAsia="en-US"/>
        </w:rPr>
      </w:r>
      <w:r>
        <w:rPr>
          <w:rFonts w:eastAsiaTheme="minorEastAsia"/>
          <w:spacing w:val="-1"/>
          <w:shd w:val="clear" w:color="auto" w:fill="ffffff"/>
          <w:lang w:eastAsia="en-US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EastAsia"/>
          <w:spacing w:val="1"/>
          <w:shd w:val="clear" w:color="auto" w:fill="ffffff"/>
        </w:rPr>
      </w:pPr>
      <w:r>
        <w:rPr>
          <w:rFonts w:eastAsiaTheme="minorEastAsia"/>
          <w:spacing w:val="-1"/>
          <w:shd w:val="clear" w:color="auto" w:fill="ffffff"/>
          <w:lang w:eastAsia="en-US"/>
        </w:rPr>
        <w:t xml:space="preserve">наличие участков тепловых сетей со сроком службы более 30 лет;</w:t>
      </w:r>
      <w:r>
        <w:rPr>
          <w:rFonts w:eastAsiaTheme="minorEastAsia"/>
          <w:spacing w:val="1"/>
          <w:shd w:val="clear" w:color="auto" w:fill="ffffff"/>
        </w:rPr>
      </w:r>
      <w:r>
        <w:rPr>
          <w:rFonts w:eastAsiaTheme="minorEastAsia"/>
          <w:spacing w:val="1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EastAsia"/>
          <w:spacing w:val="1"/>
          <w:shd w:val="clear" w:color="auto" w:fill="ffffff"/>
          <w:lang w:eastAsia="en-US"/>
        </w:rPr>
      </w:pPr>
      <w:r>
        <w:rPr>
          <w:rFonts w:eastAsiaTheme="minorEastAsia"/>
          <w:spacing w:val="-1"/>
          <w:shd w:val="clear" w:color="auto" w:fill="ffffff"/>
          <w:lang w:eastAsia="en-US"/>
        </w:rPr>
        <w:t xml:space="preserve">отсутствие резервированных участков тепловых сетей;</w:t>
      </w:r>
      <w:r>
        <w:rPr>
          <w:rFonts w:eastAsiaTheme="minorEastAsia"/>
          <w:spacing w:val="1"/>
          <w:shd w:val="clear" w:color="auto" w:fill="ffffff"/>
          <w:lang w:eastAsia="en-US"/>
        </w:rPr>
      </w:r>
      <w:r>
        <w:rPr>
          <w:rFonts w:eastAsiaTheme="minorEastAsia"/>
          <w:spacing w:val="1"/>
          <w:shd w:val="clear" w:color="auto" w:fill="ffffff"/>
          <w:lang w:eastAsia="en-US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EastAsia"/>
          <w:spacing w:val="1"/>
          <w:shd w:val="clear" w:color="auto" w:fill="ffffff"/>
        </w:rPr>
      </w:pPr>
      <w:r>
        <w:rPr>
          <w:rFonts w:eastAsiaTheme="minorEastAsia"/>
          <w:spacing w:val="1"/>
          <w:shd w:val="clear" w:color="auto" w:fill="ffffff"/>
        </w:rPr>
        <w:t xml:space="preserve">отсутствие автоматических систем, обеспечивающих соблюдение требований пожарной безопасности зданий и сооружений котельных в соответствии с действующими нормами и правилами;</w:t>
      </w:r>
      <w:r>
        <w:rPr>
          <w:rFonts w:eastAsiaTheme="minorEastAsia"/>
          <w:spacing w:val="1"/>
          <w:shd w:val="clear" w:color="auto" w:fill="ffffff"/>
        </w:rPr>
      </w:r>
      <w:r>
        <w:rPr>
          <w:rFonts w:eastAsiaTheme="minorEastAsia"/>
          <w:spacing w:val="1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EastAsia"/>
          <w:spacing w:val="1"/>
          <w:shd w:val="clear" w:color="auto" w:fill="ffffff"/>
        </w:rPr>
      </w:pPr>
      <w:r>
        <w:rPr>
          <w:rFonts w:eastAsiaTheme="minorEastAsia"/>
          <w:spacing w:val="1"/>
          <w:shd w:val="clear" w:color="auto" w:fill="ffffff"/>
        </w:rPr>
        <w:t xml:space="preserve">не укомплектованность систем теплопотребления необходимым перечнем оборудования, арматуры, приборов контроля.</w:t>
      </w:r>
      <w:r>
        <w:rPr>
          <w:rFonts w:eastAsiaTheme="minorEastAsia"/>
          <w:spacing w:val="1"/>
          <w:shd w:val="clear" w:color="auto" w:fill="ffffff"/>
        </w:rPr>
      </w:r>
      <w:r>
        <w:rPr>
          <w:rFonts w:eastAsiaTheme="minorEastAsia"/>
          <w:spacing w:val="1"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Theme="minorEastAsia"/>
          <w:spacing w:val="1"/>
          <w:shd w:val="clear" w:color="auto" w:fill="ffffff"/>
        </w:rPr>
      </w:pPr>
      <w:r>
        <w:rPr>
          <w:rFonts w:eastAsiaTheme="minorEastAsia"/>
          <w:spacing w:val="-1"/>
          <w:shd w:val="clear" w:color="auto" w:fill="ffffff"/>
          <w:lang w:eastAsia="en-US"/>
        </w:rPr>
        <w:t xml:space="preserve">Развитие систем теплоснабжения (источников тепловой энергии) - стремление максимально реализовать мощность источника тепловой энергии нетто, при минимальных зат</w:t>
      </w:r>
      <w:r>
        <w:rPr>
          <w:rFonts w:eastAsiaTheme="minorEastAsia"/>
          <w:spacing w:val="-1"/>
          <w:shd w:val="clear" w:color="auto" w:fill="ffffff"/>
          <w:lang w:eastAsia="en-US"/>
        </w:rPr>
        <w:t xml:space="preserve">ратах, достигнутых путем использования оборудования (котлов), имеющего высокий КПД и энергоэффективность, снижением потерь тепловой энергии, теплоносителя и электроэнергии при транспорте, а также рациональное использование тепловой энергии и теплоносителя.</w:t>
      </w:r>
      <w:r>
        <w:rPr>
          <w:rFonts w:eastAsiaTheme="minorEastAsia"/>
          <w:spacing w:val="1"/>
          <w:shd w:val="clear" w:color="auto" w:fill="ffffff"/>
        </w:rPr>
      </w:r>
      <w:r>
        <w:rPr>
          <w:rFonts w:eastAsiaTheme="minorEastAsia"/>
          <w:spacing w:val="1"/>
          <w:shd w:val="clear" w:color="auto" w:fill="ffffff"/>
        </w:rPr>
      </w:r>
    </w:p>
    <w:p>
      <w:pPr>
        <w:ind w:firstLine="709"/>
        <w:jc w:val="both"/>
        <w:widowControl w:val="off"/>
        <w:rPr>
          <w:rFonts w:eastAsiaTheme="minorEastAsia"/>
          <w:spacing w:val="-1"/>
          <w:shd w:val="clear" w:color="auto" w:fill="ffffff"/>
          <w:lang w:eastAsia="en-US"/>
        </w:rPr>
      </w:pPr>
      <w:r>
        <w:rPr>
          <w:rFonts w:eastAsiaTheme="minorEastAsia"/>
          <w:spacing w:val="-1"/>
          <w:shd w:val="clear" w:color="auto" w:fill="ffffff"/>
          <w:lang w:eastAsia="en-US"/>
        </w:rPr>
        <w:t xml:space="preserve">Основной проблемой при развитии систем теплоснабжения муниципального образования является физическое и моральное старение основных фондов.</w:t>
      </w:r>
      <w:r>
        <w:rPr>
          <w:rFonts w:eastAsiaTheme="minorEastAsia"/>
          <w:spacing w:val="-1"/>
          <w:shd w:val="clear" w:color="auto" w:fill="ffffff"/>
          <w:lang w:eastAsia="en-US"/>
        </w:rPr>
      </w:r>
      <w:r>
        <w:rPr>
          <w:rFonts w:eastAsiaTheme="minorEastAsia"/>
          <w:spacing w:val="-1"/>
          <w:shd w:val="clear" w:color="auto" w:fill="ffffff"/>
          <w:lang w:eastAsia="en-US"/>
        </w:rPr>
      </w:r>
    </w:p>
    <w:p>
      <w:pPr>
        <w:ind w:firstLine="709"/>
        <w:jc w:val="both"/>
        <w:tabs>
          <w:tab w:val="left" w:pos="1134" w:leader="none"/>
          <w:tab w:val="left" w:pos="1276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EastAsia"/>
          <w:spacing w:val="-1"/>
          <w:shd w:val="clear" w:color="auto" w:fill="ffffff"/>
          <w:lang w:eastAsia="en-US"/>
        </w:rPr>
        <w:t xml:space="preserve">Проблемы надежного и эффективного снабжения топливом действующих системы теплоснабжения котельных Тайшетского городского поселения по состоянию на отчетный (базовый) 202</w:t>
      </w:r>
      <w:r>
        <w:rPr>
          <w:rFonts w:eastAsiaTheme="minorEastAsia"/>
          <w:spacing w:val="-1"/>
          <w:shd w:val="clear" w:color="auto" w:fill="ffffff"/>
          <w:lang w:eastAsia="en-US"/>
        </w:rPr>
        <w:t xml:space="preserve">4</w:t>
      </w:r>
      <w:r>
        <w:rPr>
          <w:rFonts w:eastAsiaTheme="minorEastAsia"/>
          <w:spacing w:val="-1"/>
          <w:shd w:val="clear" w:color="auto" w:fill="ffffff"/>
          <w:lang w:eastAsia="en-US"/>
        </w:rPr>
        <w:t xml:space="preserve"> год отсутствуют.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contextualSpacing/>
        <w:jc w:val="center"/>
        <w:keepLines/>
        <w:keepNext/>
        <w:widowControl w:val="off"/>
        <w:rPr>
          <w:rFonts w:eastAsiaTheme="majorEastAsia"/>
          <w:bCs/>
          <w:caps/>
          <w:szCs w:val="26"/>
        </w:rPr>
      </w:pP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contextualSpacing/>
        <w:jc w:val="center"/>
        <w:keepLines/>
        <w:keepNext/>
        <w:widowControl w:val="off"/>
        <w:rPr>
          <w:rFonts w:eastAsiaTheme="majorEastAsia"/>
          <w:bCs/>
          <w:caps/>
          <w:szCs w:val="26"/>
        </w:rPr>
      </w:pPr>
      <w:r/>
      <w:bookmarkStart w:id="73" w:name="_Toc149055603"/>
      <w:r>
        <w:rPr>
          <w:rFonts w:eastAsiaTheme="majorEastAsia"/>
          <w:bCs/>
          <w:caps/>
          <w:szCs w:val="26"/>
        </w:rPr>
        <w:t xml:space="preserve">ГЛАВА 2. СУЩЕСТВУЮЩЕЕ И ПЕРСПЕКТИВНОЕ ПОТРЕБЛЕНИЕ ТЕПЛОВОЙ ЭНЕРГИИ НА ЦЕЛИ ТЕПЛОСНАБЖЕНИЯ</w:t>
      </w:r>
      <w:bookmarkEnd w:id="73"/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contextualSpacing/>
        <w:jc w:val="center"/>
        <w:keepLines/>
        <w:keepNext/>
        <w:widowControl w:val="off"/>
        <w:rPr>
          <w:rFonts w:eastAsiaTheme="majorEastAsia"/>
          <w:bCs/>
          <w:caps/>
          <w:szCs w:val="26"/>
        </w:rPr>
      </w:pP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74" w:name="_Toc149055604"/>
      <w:r>
        <w:rPr>
          <w:rFonts w:eastAsiaTheme="majorEastAsia"/>
          <w:bCs/>
        </w:rPr>
        <w:t xml:space="preserve">2.1. Данные базового уровня потребления тепла на цели теплоснабжения</w:t>
      </w:r>
      <w:bookmarkEnd w:id="74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567" w:leader="none"/>
          <w:tab w:val="left" w:pos="1276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Базовый уровень потребления тепловой энергии на цели теплоснабжения Тайшетского городского поселения в отчетном (базовом)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году представлен в Таблице 34.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right"/>
        <w:tabs>
          <w:tab w:val="left" w:pos="567" w:leader="none"/>
          <w:tab w:val="left" w:pos="1276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Таблица 34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tabs>
          <w:tab w:val="left" w:pos="567" w:leader="none"/>
          <w:tab w:val="left" w:pos="1276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Базовый уровень потребления тепловой энергии на цели теплоснабжения 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tabs>
          <w:tab w:val="left" w:pos="567" w:leader="none"/>
          <w:tab w:val="left" w:pos="1276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Тайшетского городского поселения в отчетном (базовом)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году</w:t>
      </w:r>
      <w:r>
        <w:rPr>
          <w:rFonts w:eastAsiaTheme="minorEastAsia"/>
        </w:rPr>
      </w:r>
      <w:r>
        <w:rPr>
          <w:rFonts w:eastAsiaTheme="minorEastAsia"/>
        </w:rPr>
      </w:r>
    </w:p>
    <w:tbl>
      <w:tblPr>
        <w:tblW w:w="9214" w:type="dxa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3969"/>
        <w:gridCol w:w="2410"/>
        <w:gridCol w:w="2835"/>
      </w:tblGrid>
      <w:tr>
        <w:tblPrEx/>
        <w:trPr/>
        <w:tc>
          <w:tcPr>
            <w:tcW w:w="396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993" w:leader="none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Наименование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  <w:p>
            <w:pPr>
              <w:jc w:val="center"/>
              <w:widowControl w:val="off"/>
              <w:tabs>
                <w:tab w:val="left" w:pos="993" w:leader="none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муниципальной котельной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993" w:leader="none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Количество выработанной тепловой энергии, Гкал/год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83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993" w:leader="none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Базовый уровень потребления тепловой энергии на цели теплоснабжения, Гкал/год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60"/>
        </w:trPr>
        <w:tc>
          <w:tcPr>
            <w:tcW w:w="3969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№1 (ТКСИ) 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99 821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83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74 608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51"/>
        </w:trPr>
        <w:tc>
          <w:tcPr>
            <w:tcW w:w="3969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№2 (ШПЗ)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119 786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83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98 670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"/>
        </w:trPr>
        <w:tc>
          <w:tcPr>
            <w:tcW w:w="3969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№3 (Мелькомбинат)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8 463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83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  <w:t xml:space="preserve"> 327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"/>
        </w:trPr>
        <w:tc>
          <w:tcPr>
            <w:tcW w:w="3969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№4 (Экспедиция №5)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</w:t>
            </w:r>
            <w:r>
              <w:rPr>
                <w:sz w:val="22"/>
                <w:szCs w:val="22"/>
              </w:rPr>
              <w:t xml:space="preserve">809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83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  <w:t xml:space="preserve">08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"/>
        </w:trPr>
        <w:tc>
          <w:tcPr>
            <w:tcW w:w="3969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№5 (Совхоз)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r>
              <w:rPr>
                <w:sz w:val="22"/>
                <w:szCs w:val="22"/>
              </w:rPr>
              <w:t xml:space="preserve">535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83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894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"/>
        </w:trPr>
        <w:tc>
          <w:tcPr>
            <w:tcW w:w="3969" w:type="dxa"/>
            <w:vAlign w:val="center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ДТВ ОАО «РЖД»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10973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83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10332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"/>
        </w:trPr>
        <w:tc>
          <w:tcPr>
            <w:tcW w:w="3969" w:type="dxa"/>
            <w:vAlign w:val="center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ПС-500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Нет данных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83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Нет данных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"/>
        </w:trPr>
        <w:tc>
          <w:tcPr>
            <w:tcW w:w="396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Итого по муниципальному образованию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241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 xml:space="preserve">245 387</w:t>
            </w:r>
            <w:r>
              <w:rPr>
                <w:sz w:val="22"/>
                <w:szCs w:val="22"/>
                <w:lang w:val="en-US"/>
              </w:rPr>
            </w:r>
            <w:r>
              <w:rPr>
                <w:sz w:val="22"/>
                <w:szCs w:val="22"/>
                <w:lang w:val="en-US"/>
              </w:rPr>
            </w:r>
          </w:p>
        </w:tc>
        <w:tc>
          <w:tcPr>
            <w:tcW w:w="283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193 </w:t>
            </w:r>
            <w:r>
              <w:rPr>
                <w:sz w:val="22"/>
                <w:szCs w:val="22"/>
                <w:lang w:val="en-US"/>
              </w:rPr>
              <w:t xml:space="preserve">239</w:t>
            </w:r>
            <w:r>
              <w:rPr>
                <w:sz w:val="22"/>
                <w:szCs w:val="22"/>
                <w:lang w:val="en-US"/>
              </w:rPr>
            </w:r>
            <w:r>
              <w:rPr>
                <w:sz w:val="22"/>
                <w:szCs w:val="22"/>
                <w:lang w:val="en-US"/>
              </w:rPr>
            </w:r>
          </w:p>
        </w:tc>
      </w:tr>
    </w:tbl>
    <w:p>
      <w:pPr>
        <w:ind w:firstLine="709"/>
        <w:jc w:val="both"/>
        <w:keepLines/>
        <w:keepNext/>
        <w:widowControl w:val="off"/>
        <w:rPr>
          <w:rFonts w:eastAsiaTheme="majorEastAsia"/>
        </w:rPr>
      </w:pPr>
      <w:r>
        <w:rPr>
          <w:rFonts w:eastAsiaTheme="majorEastAsia"/>
          <w:bCs/>
          <w:highlight w:val="none"/>
        </w:rPr>
      </w:r>
      <w:r>
        <w:rPr>
          <w:rFonts w:eastAsiaTheme="majorEastAsia"/>
        </w:rPr>
      </w:r>
      <w:r>
        <w:rPr>
          <w:rFonts w:eastAsiaTheme="maj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highlight w:val="none"/>
        </w:rPr>
      </w:pPr>
      <w:r/>
      <w:bookmarkStart w:id="75" w:name="_Toc149055605"/>
      <w:r>
        <w:rPr>
          <w:rFonts w:eastAsiaTheme="majorEastAsia"/>
          <w:bCs/>
        </w:rPr>
        <w:t xml:space="preserve">2.2. Прогнозы приростов площади строительных фондов, сгруппированные по расчетным эл</w:t>
      </w:r>
      <w:r>
        <w:rPr>
          <w:rFonts w:eastAsiaTheme="majorEastAsia"/>
          <w:bCs/>
        </w:rPr>
        <w:t xml:space="preserve">ементам территориального деления и по зонам действия источников тепловой энергии с разделением объектов строительства на многоквартирные дома, индивидуальные жилые дома, общественные здания, производственные здания промышленных предприятий, на каждом этапе</w:t>
      </w:r>
      <w:bookmarkEnd w:id="75"/>
      <w:r>
        <w:rPr>
          <w:rFonts w:eastAsiaTheme="majorEastAsia"/>
          <w:highlight w:val="none"/>
        </w:rPr>
      </w:r>
      <w:r>
        <w:rPr>
          <w:rFonts w:eastAsiaTheme="majorEastAsia"/>
          <w:highlight w:val="none"/>
        </w:rPr>
      </w:r>
    </w:p>
    <w:p>
      <w:pPr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Таблица 35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center"/>
        <w:widowControl w:val="off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Объекты образовательного, спортивного и социально-бытового назначения Тайшетского городского поселения, планируемые к строительству на перспективу 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tbl>
      <w:tblPr>
        <w:tblW w:w="4945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829"/>
        <w:gridCol w:w="8636"/>
      </w:tblGrid>
      <w:tr>
        <w:tblPrEx/>
        <w:trPr/>
        <w:tc>
          <w:tcPr>
            <w:gridSpan w:val="2"/>
            <w:tcW w:w="5000" w:type="pct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Объекты, планируемые к строительству и подключению к источникам теплоснабжения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77"/>
        </w:trPr>
        <w:tc>
          <w:tcPr>
            <w:tcW w:w="438" w:type="pct"/>
            <w:vAlign w:val="center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 xml:space="preserve">Год ввода</w:t>
            </w:r>
            <w:r>
              <w:rPr>
                <w:rFonts w:eastAsia="Calibri"/>
                <w:sz w:val="22"/>
                <w:szCs w:val="22"/>
              </w:rPr>
            </w:r>
            <w:r>
              <w:rPr>
                <w:rFonts w:eastAsia="Calibri"/>
                <w:sz w:val="22"/>
                <w:szCs w:val="22"/>
              </w:rPr>
            </w:r>
          </w:p>
        </w:tc>
        <w:tc>
          <w:tcPr>
            <w:tcW w:w="4562" w:type="pct"/>
            <w:vAlign w:val="center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 xml:space="preserve">1. Многоквартирные дома</w:t>
            </w:r>
            <w:r>
              <w:rPr>
                <w:rFonts w:eastAsia="Calibri"/>
                <w:sz w:val="22"/>
                <w:szCs w:val="22"/>
              </w:rPr>
            </w:r>
            <w:r>
              <w:rPr>
                <w:rFonts w:eastAsia="Calibri"/>
                <w:sz w:val="22"/>
                <w:szCs w:val="22"/>
              </w:rPr>
            </w:r>
          </w:p>
        </w:tc>
      </w:tr>
      <w:tr>
        <w:tblPrEx/>
        <w:trPr>
          <w:trHeight w:val="494"/>
        </w:trPr>
        <w:tc>
          <w:tcPr>
            <w:tcW w:w="438" w:type="pct"/>
            <w:vAlign w:val="center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="Calibri"/>
                <w:strike/>
                <w:sz w:val="22"/>
                <w:szCs w:val="22"/>
                <w:lang w:eastAsia="en-US"/>
              </w:rPr>
            </w:pPr>
            <w:r>
              <w:rPr>
                <w:rFonts w:eastAsia="Calibri"/>
                <w:strike/>
                <w:sz w:val="22"/>
                <w:szCs w:val="22"/>
                <w:lang w:eastAsia="en-US"/>
              </w:rPr>
              <w:t xml:space="preserve">2023</w:t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</w:p>
        </w:tc>
        <w:tc>
          <w:tcPr>
            <w:tcW w:w="4562" w:type="pct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strike/>
                <w:sz w:val="22"/>
                <w:szCs w:val="22"/>
              </w:rPr>
            </w:pPr>
            <w:r>
              <w:rPr>
                <w:strike/>
                <w:sz w:val="22"/>
                <w:szCs w:val="22"/>
              </w:rPr>
              <w:t xml:space="preserve">Многоквартирные дома в </w:t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  <w:t xml:space="preserve">микрорайоне</w:t>
            </w:r>
            <w:r>
              <w:rPr>
                <w:strike/>
                <w:sz w:val="22"/>
                <w:szCs w:val="22"/>
              </w:rPr>
              <w:t xml:space="preserve"> Центральный, 1 этап – 4 дома,  нагрузка 1,396 Гкал/ч (введены в эксплуатацию в 2023 году)</w:t>
            </w:r>
            <w:r>
              <w:rPr>
                <w:strike/>
                <w:sz w:val="22"/>
                <w:szCs w:val="22"/>
              </w:rPr>
            </w:r>
            <w:r>
              <w:rPr>
                <w:strike/>
                <w:sz w:val="22"/>
                <w:szCs w:val="22"/>
              </w:rPr>
            </w:r>
          </w:p>
        </w:tc>
      </w:tr>
      <w:tr>
        <w:tblPrEx/>
        <w:trPr>
          <w:trHeight w:val="579"/>
        </w:trPr>
        <w:tc>
          <w:tcPr>
            <w:tcW w:w="438" w:type="pct"/>
            <w:vAlign w:val="center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2024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tcW w:w="4562" w:type="pct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rFonts w:eastAsia="Calibri"/>
                <w:strike/>
                <w:sz w:val="22"/>
                <w:szCs w:val="22"/>
                <w:lang w:eastAsia="en-US"/>
              </w:rPr>
            </w:pPr>
            <w:r>
              <w:rPr>
                <w:rFonts w:eastAsia="Calibri"/>
                <w:strike/>
                <w:sz w:val="22"/>
                <w:szCs w:val="22"/>
                <w:lang w:eastAsia="en-US"/>
              </w:rPr>
              <w:t xml:space="preserve">Многоквартирный дом, Герасимова Е.П., улица Суворова, 2, ввод в 2024 году, нагрузка 0,1 Гкал/ч; (введен в 2024 году)</w:t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</w:p>
          <w:p>
            <w:pPr>
              <w:contextualSpacing/>
              <w:jc w:val="both"/>
              <w:widowControl w:val="off"/>
              <w:rPr>
                <w:sz w:val="22"/>
                <w:szCs w:val="22"/>
              </w:rPr>
            </w:pPr>
            <w:r>
              <w:rPr>
                <w:strike/>
                <w:sz w:val="22"/>
                <w:szCs w:val="22"/>
              </w:rPr>
              <w:t xml:space="preserve">Многоквартирные дома в </w:t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  <w:t xml:space="preserve">микрорайоне</w:t>
            </w:r>
            <w:r>
              <w:rPr>
                <w:strike/>
                <w:sz w:val="22"/>
                <w:szCs w:val="22"/>
              </w:rPr>
              <w:t xml:space="preserve"> Центральный, 2 этап – 5 домов, нагрузка 1,595 Гкал/ч (введены в эксплуатацию в 2024 году)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579"/>
        </w:trPr>
        <w:tc>
          <w:tcPr>
            <w:tcW w:w="438" w:type="pct"/>
            <w:vAlign w:val="center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="Calibri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z w:val="22"/>
                <w:szCs w:val="22"/>
                <w:lang w:val="en-US" w:eastAsia="en-US"/>
              </w:rPr>
              <w:t xml:space="preserve">2026</w:t>
            </w:r>
            <w:r>
              <w:rPr>
                <w:rFonts w:eastAsia="Calibri"/>
                <w:sz w:val="22"/>
                <w:szCs w:val="22"/>
                <w:lang w:val="en-US" w:eastAsia="en-US"/>
              </w:rPr>
            </w:r>
            <w:r>
              <w:rPr>
                <w:rFonts w:eastAsia="Calibri"/>
                <w:sz w:val="22"/>
                <w:szCs w:val="22"/>
                <w:lang w:val="en-US" w:eastAsia="en-US"/>
              </w:rPr>
            </w:r>
          </w:p>
        </w:tc>
        <w:tc>
          <w:tcPr>
            <w:tcW w:w="4562" w:type="pct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Многоквартирный дом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ООО «Специализированный застройщик «Главстрой», улица Зои Космодемьянской, 4 – 0,344 Гкал/ч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Многоквартирный дом, Герасимова Е.П., улица Суворова, 2, - нагрузка 0,18 Гкал/ч;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579"/>
        </w:trPr>
        <w:tc>
          <w:tcPr>
            <w:tcW w:w="438" w:type="pct"/>
            <w:vAlign w:val="center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="Calibri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z w:val="22"/>
                <w:szCs w:val="22"/>
                <w:lang w:val="en-US" w:eastAsia="en-US"/>
              </w:rPr>
              <w:t xml:space="preserve">2026-2033</w:t>
            </w:r>
            <w:r>
              <w:rPr>
                <w:rFonts w:eastAsia="Calibri"/>
                <w:sz w:val="22"/>
                <w:szCs w:val="22"/>
                <w:lang w:val="en-US" w:eastAsia="en-US"/>
              </w:rPr>
            </w:r>
            <w:r>
              <w:rPr>
                <w:rFonts w:eastAsia="Calibri"/>
                <w:sz w:val="22"/>
                <w:szCs w:val="22"/>
                <w:lang w:val="en-US" w:eastAsia="en-US"/>
              </w:rPr>
            </w:r>
          </w:p>
        </w:tc>
        <w:tc>
          <w:tcPr>
            <w:tcW w:w="4562" w:type="pct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Многоквартирный жилой дом ОАО «РЖД», 0,262 Гкал/ч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Многоквартирные жилые дома ООО «Развитие», ввод в 2025-2031 годах, нагрузка 7,18 Гкал/ч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Многоквартирные жилые дома взамен сносимого ветхого жилого фонда (котельная № 2), ввод в 2027-2033 годах – дополнительная нагрузка 2,78 Гкал/ч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Многоквартирные жилые дома микрорайон «РУСАЛ квартАЛ», нагрузка 10 Гкал/ч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170"/>
        </w:trPr>
        <w:tc>
          <w:tcPr>
            <w:gridSpan w:val="2"/>
            <w:tcW w:w="5000" w:type="pct"/>
            <w:vAlign w:val="center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 Общественные здания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420"/>
        </w:trPr>
        <w:tc>
          <w:tcPr>
            <w:tcW w:w="438" w:type="pct"/>
            <w:vAlign w:val="center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2023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4562" w:type="pct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rFonts w:eastAsia="Calibri"/>
                <w:strike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trike/>
                <w:sz w:val="22"/>
                <w:szCs w:val="22"/>
              </w:rPr>
              <w:t xml:space="preserve">Центр спортивных единоборств по улице Пушкина, </w:t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  <w:t xml:space="preserve">(индивидуальный источник тепловой энергии)  нагрузка 0,338 Гкал/ч (введен в эксплуатацию 2023 году)</w:t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420"/>
        </w:trPr>
        <w:tc>
          <w:tcPr>
            <w:tcW w:w="438" w:type="pct"/>
            <w:vAlign w:val="center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Theme="minorEastAsia"/>
                <w:sz w:val="22"/>
                <w:szCs w:val="22"/>
                <w:lang w:val="en-US"/>
              </w:rPr>
            </w:pPr>
            <w:r>
              <w:rPr>
                <w:rFonts w:eastAsiaTheme="minorEastAsia"/>
                <w:sz w:val="22"/>
                <w:szCs w:val="22"/>
                <w:lang w:val="en-US"/>
              </w:rPr>
              <w:t xml:space="preserve">2025</w:t>
            </w:r>
            <w:r>
              <w:rPr>
                <w:rFonts w:eastAsiaTheme="minorEastAsia"/>
                <w:sz w:val="22"/>
                <w:szCs w:val="22"/>
                <w:lang w:val="en-US"/>
              </w:rPr>
            </w:r>
            <w:r>
              <w:rPr>
                <w:rFonts w:eastAsiaTheme="minorEastAsia"/>
                <w:sz w:val="22"/>
                <w:szCs w:val="22"/>
                <w:lang w:val="en-US"/>
              </w:rPr>
            </w:r>
          </w:p>
        </w:tc>
        <w:tc>
          <w:tcPr>
            <w:tcW w:w="4562" w:type="pct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Магазин Агабекян К.Н. улица Суворова, 3а, 0,0204 Гкал/ч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ЦЗН улица Зои Космодемьянской, земельный участок 2А, 0,03 Гкал/ч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412"/>
        </w:trPr>
        <w:tc>
          <w:tcPr>
            <w:tcW w:w="438" w:type="pct"/>
            <w:vAlign w:val="center"/>
            <w:vMerge w:val="restart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Theme="minorEastAsia"/>
                <w:strike/>
                <w:sz w:val="22"/>
                <w:szCs w:val="22"/>
              </w:rPr>
            </w:pPr>
            <w:r>
              <w:rPr>
                <w:rFonts w:eastAsiaTheme="minorEastAsia"/>
                <w:strike/>
                <w:sz w:val="22"/>
                <w:szCs w:val="22"/>
              </w:rPr>
              <w:t xml:space="preserve">2024</w:t>
            </w:r>
            <w:r>
              <w:rPr>
                <w:rFonts w:eastAsiaTheme="minorEastAsia"/>
                <w:strike/>
                <w:sz w:val="22"/>
                <w:szCs w:val="22"/>
              </w:rPr>
            </w:r>
            <w:r>
              <w:rPr>
                <w:rFonts w:eastAsiaTheme="minorEastAsia"/>
                <w:strike/>
                <w:sz w:val="22"/>
                <w:szCs w:val="22"/>
              </w:rPr>
            </w:r>
          </w:p>
        </w:tc>
        <w:tc>
          <w:tcPr>
            <w:tcW w:w="4562" w:type="pct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rFonts w:eastAsia="Calibri"/>
                <w:strike/>
                <w:sz w:val="22"/>
                <w:szCs w:val="22"/>
                <w:lang w:eastAsia="en-US"/>
              </w:rPr>
            </w:pPr>
            <w:r>
              <w:rPr>
                <w:rFonts w:eastAsia="Calibri"/>
                <w:strike/>
                <w:sz w:val="22"/>
                <w:szCs w:val="22"/>
                <w:lang w:eastAsia="en-US"/>
              </w:rPr>
              <w:t xml:space="preserve">Детский сад по улице Зои Космодемьянской, 7,  нагрузка 0,259 Гкал/ч </w:t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  <w:t xml:space="preserve">Актуализация схемы теплоснабжения Тайшетского городского поселения на 2024 год выполнена и утверждена постановлением администрации Тайшетского городского поселения от 01 декабря 2023 года №1093.</w:t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62"/>
        </w:trPr>
        <w:tc>
          <w:tcPr>
            <w:tcW w:w="438" w:type="pct"/>
            <w:vAlign w:val="center"/>
            <w:vMerge w:val="continue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="Calibri"/>
                <w:strike/>
                <w:sz w:val="22"/>
                <w:szCs w:val="22"/>
                <w:lang w:eastAsia="en-US"/>
              </w:rPr>
            </w:pP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</w:p>
        </w:tc>
        <w:tc>
          <w:tcPr>
            <w:tcW w:w="4562" w:type="pct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rFonts w:eastAsia="Calibri"/>
                <w:strike/>
                <w:sz w:val="22"/>
                <w:szCs w:val="22"/>
                <w:lang w:eastAsia="en-US"/>
              </w:rPr>
            </w:pPr>
            <w:r>
              <w:rPr>
                <w:rFonts w:eastAsia="Calibri"/>
                <w:strike/>
                <w:sz w:val="22"/>
                <w:szCs w:val="22"/>
                <w:lang w:eastAsia="en-US"/>
              </w:rPr>
              <w:t xml:space="preserve">Здание филиала ИРНИТУ, микрорайон имени Мясникова, 8а,  нагрузка  0,187 Гкал/ч</w:t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325"/>
        </w:trPr>
        <w:tc>
          <w:tcPr>
            <w:tcW w:w="438" w:type="pct"/>
            <w:vAlign w:val="center"/>
            <w:vMerge w:val="continue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="Calibri"/>
                <w:strike/>
                <w:sz w:val="22"/>
                <w:szCs w:val="22"/>
                <w:lang w:eastAsia="en-US"/>
              </w:rPr>
            </w:pP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</w:p>
        </w:tc>
        <w:tc>
          <w:tcPr>
            <w:tcW w:w="4562" w:type="pct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rFonts w:eastAsia="Calibri"/>
                <w:strike/>
                <w:sz w:val="22"/>
                <w:szCs w:val="22"/>
                <w:lang w:eastAsia="en-US"/>
              </w:rPr>
            </w:pP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325"/>
        </w:trPr>
        <w:tc>
          <w:tcPr>
            <w:tcW w:w="438" w:type="pct"/>
            <w:vAlign w:val="center"/>
            <w:vMerge w:val="continue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="Calibri"/>
                <w:strike/>
                <w:sz w:val="22"/>
                <w:szCs w:val="22"/>
                <w:lang w:eastAsia="en-US"/>
              </w:rPr>
            </w:pP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</w:p>
        </w:tc>
        <w:tc>
          <w:tcPr>
            <w:tcW w:w="4562" w:type="pct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rFonts w:eastAsia="Calibri"/>
                <w:strike/>
                <w:sz w:val="22"/>
                <w:szCs w:val="22"/>
                <w:lang w:eastAsia="en-US"/>
              </w:rPr>
            </w:pPr>
            <w:r>
              <w:rPr>
                <w:rFonts w:eastAsia="Calibri"/>
                <w:strike/>
                <w:sz w:val="22"/>
                <w:szCs w:val="22"/>
                <w:lang w:eastAsia="en-US"/>
              </w:rPr>
              <w:t xml:space="preserve">Здание административно-делового назначения, Маслаков П.В., улица Гагарина, 96а, нагрузка 0,0287 Гкал/ч</w:t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325"/>
        </w:trPr>
        <w:tc>
          <w:tcPr>
            <w:tcW w:w="438" w:type="pct"/>
            <w:vAlign w:val="center"/>
            <w:vMerge w:val="restart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="Calibri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202</w:t>
            </w:r>
            <w:r>
              <w:rPr>
                <w:rFonts w:eastAsia="Calibri"/>
                <w:sz w:val="22"/>
                <w:szCs w:val="22"/>
                <w:lang w:val="en-US" w:eastAsia="en-US"/>
              </w:rPr>
              <w:t xml:space="preserve">6-2027</w:t>
            </w:r>
            <w:r>
              <w:rPr>
                <w:rFonts w:eastAsia="Calibri"/>
                <w:sz w:val="22"/>
                <w:szCs w:val="22"/>
                <w:lang w:val="en-US" w:eastAsia="en-US"/>
              </w:rPr>
            </w:r>
            <w:r>
              <w:rPr>
                <w:rFonts w:eastAsia="Calibri"/>
                <w:sz w:val="22"/>
                <w:szCs w:val="22"/>
                <w:lang w:val="en-US" w:eastAsia="en-US"/>
              </w:rPr>
            </w:r>
          </w:p>
        </w:tc>
        <w:tc>
          <w:tcPr>
            <w:tcW w:w="4562" w:type="pct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Средняя образовательная школа на 1275 мест по улице Горького, 21,  нагрузка 3,698 Гкал/ч  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325"/>
        </w:trPr>
        <w:tc>
          <w:tcPr>
            <w:tcW w:w="438" w:type="pct"/>
            <w:vAlign w:val="center"/>
            <w:vMerge w:val="continue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tcW w:w="4562" w:type="pct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Детское дошкольное учреждение в микрорайоне Центральный,  (индивидуальный источник тепловой энергии) нагрузка 0,9552 Гкал/ч  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325"/>
        </w:trPr>
        <w:tc>
          <w:tcPr>
            <w:tcW w:w="438" w:type="pct"/>
            <w:vAlign w:val="center"/>
            <w:vMerge w:val="continue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tcW w:w="4562" w:type="pct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Объект капитального строительства Баянов Д.В, улица Суворова, 12, нагрузка 0,275 Гкал/ч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88"/>
        </w:trPr>
        <w:tc>
          <w:tcPr>
            <w:tcW w:w="438" w:type="pct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2026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tcW w:w="4562" w:type="pct"/>
            <w:textDirection w:val="lrTb"/>
            <w:noWrap w:val="false"/>
          </w:tcPr>
          <w:p>
            <w:pPr>
              <w:jc w:val="both"/>
              <w:widowControl w:val="off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Здание спортивного зала частного образовательного учреждения «РЖД лицей №12» улица Крупской 97, ввод в IV квартале 2026 года – 0,210 Гкал/ч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48"/>
        </w:trPr>
        <w:tc>
          <w:tcPr>
            <w:tcW w:w="438" w:type="pct"/>
            <w:vAlign w:val="center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2027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tcW w:w="4562" w:type="pct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rFonts w:eastAsia="Calibri"/>
                <w:strike/>
                <w:sz w:val="22"/>
                <w:szCs w:val="22"/>
                <w:lang w:eastAsia="en-US"/>
              </w:rPr>
            </w:pPr>
            <w:r>
              <w:rPr>
                <w:rFonts w:eastAsia="Calibri"/>
                <w:strike/>
                <w:sz w:val="22"/>
                <w:szCs w:val="22"/>
                <w:lang w:eastAsia="en-US"/>
              </w:rPr>
              <w:t xml:space="preserve">Поликлиника на 1000 посещений ОГБУЗ «Тайшетская районная больница» улица Индустриальная, 5,  нагрузка 3,103 Гкал/ч</w:t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48"/>
        </w:trPr>
        <w:tc>
          <w:tcPr>
            <w:tcW w:w="438" w:type="pct"/>
            <w:vAlign w:val="center"/>
            <w:vMerge w:val="restart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202</w:t>
            </w:r>
            <w:r>
              <w:rPr>
                <w:rFonts w:eastAsia="Calibri"/>
                <w:sz w:val="22"/>
                <w:szCs w:val="22"/>
                <w:lang w:val="en-US" w:eastAsia="en-US"/>
              </w:rPr>
              <w:t xml:space="preserve">7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-2028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tcW w:w="4562" w:type="pct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Здание отдела внутренних дел, – 0,954 Гкал/ч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48"/>
        </w:trPr>
        <w:tc>
          <w:tcPr>
            <w:tcW w:w="438" w:type="pct"/>
            <w:vAlign w:val="center"/>
            <w:vMerge w:val="continue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tcW w:w="4562" w:type="pct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Крытый каток с искусственным льдом – 0,654 Гкал/ч;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48"/>
        </w:trPr>
        <w:tc>
          <w:tcPr>
            <w:tcW w:w="438" w:type="pct"/>
            <w:vAlign w:val="center"/>
            <w:vMerge w:val="continue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tcW w:w="4562" w:type="pct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rFonts w:eastAsia="Calibri"/>
                <w:strike/>
                <w:sz w:val="22"/>
                <w:szCs w:val="22"/>
                <w:lang w:eastAsia="en-US"/>
              </w:rPr>
            </w:pPr>
            <w:r>
              <w:rPr>
                <w:rFonts w:eastAsia="Calibri"/>
                <w:strike/>
                <w:sz w:val="22"/>
                <w:szCs w:val="22"/>
                <w:lang w:eastAsia="en-US"/>
              </w:rPr>
              <w:t xml:space="preserve">Физкультурно-оздоровительный комплекс в микрорайоне имени Мясникова, нагрузка 1,135 Гкал/ч</w:t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48"/>
        </w:trPr>
        <w:tc>
          <w:tcPr>
            <w:tcW w:w="438" w:type="pct"/>
            <w:vAlign w:val="center"/>
            <w:vMerge w:val="continue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tcW w:w="4562" w:type="pct"/>
            <w:textDirection w:val="lrTb"/>
            <w:noWrap w:val="false"/>
          </w:tcPr>
          <w:p>
            <w:pPr>
              <w:jc w:val="both"/>
              <w:widowControl w:val="off"/>
              <w:rPr>
                <w:rFonts w:eastAsia="Calibri"/>
                <w:strike/>
                <w:sz w:val="22"/>
                <w:szCs w:val="22"/>
                <w:lang w:eastAsia="en-US"/>
              </w:rPr>
            </w:pPr>
            <w:r>
              <w:rPr>
                <w:rFonts w:eastAsia="Calibri"/>
                <w:strike/>
                <w:sz w:val="22"/>
                <w:szCs w:val="22"/>
                <w:lang w:eastAsia="en-US"/>
              </w:rPr>
              <w:t xml:space="preserve">Детский сад на 250 мест микрорайон Крутенький, нагрузка 1,14 Гкал/ч</w:t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48"/>
        </w:trPr>
        <w:tc>
          <w:tcPr>
            <w:tcW w:w="438" w:type="pct"/>
            <w:vAlign w:val="center"/>
            <w:vMerge w:val="continue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tcW w:w="4562" w:type="pct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rFonts w:eastAsia="Calibri"/>
                <w:strike/>
                <w:sz w:val="22"/>
                <w:szCs w:val="22"/>
                <w:lang w:eastAsia="en-US"/>
              </w:rPr>
            </w:pPr>
            <w:r>
              <w:rPr>
                <w:rFonts w:eastAsia="Calibri"/>
                <w:strike/>
                <w:sz w:val="22"/>
                <w:szCs w:val="22"/>
                <w:lang w:eastAsia="en-US"/>
              </w:rPr>
              <w:t xml:space="preserve">Дом престарелых (ЗУ 38:14:250125:1894), нагрузка  0,595 Гкал/ч  </w:t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  <w:r>
              <w:rPr>
                <w:rFonts w:eastAsia="Calibri"/>
                <w:strike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48"/>
        </w:trPr>
        <w:tc>
          <w:tcPr>
            <w:tcW w:w="438" w:type="pct"/>
            <w:vAlign w:val="center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2030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tcW w:w="4562" w:type="pct"/>
            <w:textDirection w:val="lrTb"/>
            <w:noWrap w:val="false"/>
          </w:tcPr>
          <w:p>
            <w:pPr>
              <w:contextualSpacing/>
              <w:jc w:val="both"/>
              <w:widowControl w:val="off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МКОУ СОШ № 2 (пристрой) на 520 мест, улица Пушкина, 43,  нагрузка 0,441 Гкал/ч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</w:tbl>
    <w:p>
      <w:pPr>
        <w:ind w:firstLine="709"/>
        <w:jc w:val="both"/>
        <w:tabs>
          <w:tab w:val="left" w:pos="567" w:leader="none"/>
          <w:tab w:val="left" w:pos="1276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highlight w:val="none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left" w:pos="1276" w:leader="none"/>
          <w:tab w:val="right" w:pos="9923" w:leader="dot"/>
        </w:tabs>
        <w:rPr>
          <w:rFonts w:eastAsiaTheme="minorEastAsia"/>
          <w:highlight w:val="none"/>
        </w:rPr>
      </w:pPr>
      <w:r>
        <w:rPr>
          <w:rFonts w:eastAsiaTheme="minorEastAsia"/>
        </w:rPr>
        <w:t xml:space="preserve">Соответственно прогнозируется прирост отапливаемой площади строительных фондов муниципальными котельными №1 (ТКСИ) и № 2 (ШПЗ).</w:t>
      </w:r>
      <w:r>
        <w:rPr>
          <w:rFonts w:eastAsiaTheme="minorEastAsia"/>
          <w:highlight w:val="none"/>
        </w:rPr>
      </w:r>
      <w:r>
        <w:rPr>
          <w:rFonts w:eastAsiaTheme="minorEastAsia"/>
          <w:highlight w:val="none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76" w:name="_Toc149055606"/>
      <w:r>
        <w:rPr>
          <w:rFonts w:eastAsiaTheme="majorEastAsia"/>
          <w:bCs/>
        </w:rPr>
        <w:t xml:space="preserve">2.3. Прогнозы п</w:t>
      </w:r>
      <w:r>
        <w:rPr>
          <w:rFonts w:eastAsiaTheme="majorEastAsia"/>
          <w:bCs/>
        </w:rPr>
        <w:t xml:space="preserve">ерспективных удельных расходов тепловой энергии на отопление, вентиляцию и горячее водоснабжение, согласованных с требованиями к энергетической эффективности объектов теплопотребления, устанавливаемых в соответствии с законодательством Российской Федерации</w:t>
      </w:r>
      <w:bookmarkEnd w:id="76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0" w:leader="none"/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На перспективу к тепловым сетям котельных №1 (ТКСИ) и № 2 (ШПЗ) планируется подключение объектов, указанных в таблице 35, соответственно, прогнозируется увеличение потребления тепловой энергии потребителями на отопление и горячее водоснабжение.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0" w:leader="none"/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В таблице 36 указаны изменения объема потребления тепловой энергии потребителями муниципальных котельных №1 (ТКСИ) и № 2 (ШПЗ) на отопление и горячее водоснабжение.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left" w:pos="1276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Согласно прогнозам, расходы тепловой энергии муниципальных котельных №1 (ТКСИ) и № 2 (ШПЗ) на отопление и горячее водоснабжение к 2041 году увеличатся на </w:t>
      </w:r>
      <w:r>
        <w:rPr>
          <w:rFonts w:eastAsiaTheme="minorEastAsia"/>
        </w:rPr>
        <w:t xml:space="preserve">29,2</w:t>
      </w:r>
      <w:r>
        <w:rPr>
          <w:rFonts w:eastAsiaTheme="minorEastAsia"/>
        </w:rPr>
        <w:t xml:space="preserve"> Гкал/час.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0" w:leader="none"/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right"/>
        <w:tabs>
          <w:tab w:val="left" w:pos="0" w:leader="none"/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right"/>
        <w:tabs>
          <w:tab w:val="left" w:pos="0" w:leader="none"/>
          <w:tab w:val="left" w:pos="567" w:leader="none"/>
          <w:tab w:val="right" w:pos="9923" w:leader="dot"/>
        </w:tabs>
        <w:rPr>
          <w:rFonts w:eastAsiaTheme="minorEastAsia"/>
        </w:rPr>
        <w:sectPr>
          <w:footnotePr/>
          <w:endnotePr/>
          <w:type w:val="nextPage"/>
          <w:pgSz w:w="11906" w:h="16838" w:orient="portrait"/>
          <w:pgMar w:top="1134" w:right="851" w:bottom="1134" w:left="1701" w:header="340" w:footer="0" w:gutter="0"/>
          <w:cols w:num="1" w:sep="0" w:space="708" w:equalWidth="1"/>
          <w:docGrid w:linePitch="360"/>
          <w:titlePg/>
        </w:sectPr>
      </w:pPr>
      <w:r>
        <w:rPr>
          <w:rFonts w:eastAsiaTheme="minorEastAsia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right"/>
        <w:tabs>
          <w:tab w:val="left" w:pos="0" w:leader="none"/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Таблица 36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Прогнозы изменения расходов тепловой энергии потребителей на отопление и горячее водоснабжение</w:t>
      </w:r>
      <w:r>
        <w:rPr>
          <w:rFonts w:eastAsiaTheme="minorEastAsia"/>
        </w:rPr>
      </w:r>
      <w:r>
        <w:rPr>
          <w:rFonts w:eastAsiaTheme="minorEastAsia"/>
        </w:rPr>
      </w:r>
    </w:p>
    <w:tbl>
      <w:tblPr>
        <w:tblW w:w="4975" w:type="pct"/>
        <w:tblLayout w:type="fixed"/>
        <w:tblLook w:val="04A0" w:firstRow="1" w:lastRow="0" w:firstColumn="1" w:lastColumn="0" w:noHBand="0" w:noVBand="1"/>
      </w:tblPr>
      <w:tblGrid>
        <w:gridCol w:w="3086"/>
        <w:gridCol w:w="1418"/>
        <w:gridCol w:w="43"/>
        <w:gridCol w:w="1231"/>
        <w:gridCol w:w="46"/>
        <w:gridCol w:w="1378"/>
        <w:gridCol w:w="37"/>
        <w:gridCol w:w="104"/>
        <w:gridCol w:w="1005"/>
        <w:gridCol w:w="27"/>
        <w:gridCol w:w="1112"/>
        <w:gridCol w:w="27"/>
        <w:gridCol w:w="968"/>
        <w:gridCol w:w="9"/>
        <w:gridCol w:w="6"/>
        <w:gridCol w:w="9"/>
        <w:gridCol w:w="996"/>
        <w:gridCol w:w="21"/>
        <w:gridCol w:w="92"/>
        <w:gridCol w:w="1179"/>
        <w:gridCol w:w="34"/>
        <w:gridCol w:w="61"/>
        <w:gridCol w:w="1097"/>
        <w:gridCol w:w="15"/>
        <w:gridCol w:w="24"/>
        <w:gridCol w:w="141"/>
        <w:gridCol w:w="1109"/>
      </w:tblGrid>
      <w:tr>
        <w:tblPrEx/>
        <w:trPr>
          <w:trHeight w:val="20"/>
          <w:tblHeader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Виды теплопотребления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6"/>
            <w:shd w:val="clear" w:color="auto" w:fill="auto"/>
            <w:tcBorders>
              <w:top w:val="single" w:color="auto" w:sz="8" w:space="0"/>
              <w:left w:val="none" w:color="000000" w:sz="4" w:space="0"/>
              <w:right w:val="single" w:color="000000" w:sz="8" w:space="0"/>
            </w:tcBorders>
            <w:tcW w:w="399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Объемы потребления тепловой энергии муниципальным образованием, Гкал/час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  <w:tblHeader/>
        </w:trPr>
        <w:tc>
          <w:tcPr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vMerge w:val="continue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000000" w:sz="8" w:space="0"/>
            </w:tcBorders>
            <w:tcW w:w="89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Существующие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000000" w:sz="8" w:space="0"/>
            </w:tcBorders>
            <w:tcW w:w="3094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Перспективные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  <w:tblHeader/>
        </w:trPr>
        <w:tc>
          <w:tcPr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vMerge w:val="continue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78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2022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8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2023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2024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2025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5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2027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2028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2029-2033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84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2034-2038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2039-2041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27"/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tcW w:w="500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№1 (ТКСИ)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Отопление и вентиляция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19,01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19,99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22,24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26,76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28,17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29,11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41,94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8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41,94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41,94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Горячее водоснабжение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1,94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7,74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8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7,74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7,74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Технологические нужды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8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20,54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21,94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24,65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26,25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29,95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31,57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32,51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49,6</w:t>
            </w:r>
            <w:r>
              <w:rPr>
                <w:sz w:val="22"/>
                <w:szCs w:val="22"/>
              </w:rPr>
              <w:t xml:space="preserve">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8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49,68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49,68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27"/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tcW w:w="500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2 (ШПЗ)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Отопление и вентиляция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31,23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31,23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31,51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31,53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32,24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32,59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35,37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8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35,37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35,37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Горячее водоснабжение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2,19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2,19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8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Технологические нужды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8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Итого по котельной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33,39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33,39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33,70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33,72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34,62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34,99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35,10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37,88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8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37,88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37,88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27"/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tcW w:w="500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3 (Мелькомбинат)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Отопление и вентиляция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8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Горячее водоснабжение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8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Технологические нужды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8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1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6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2,661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8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2,661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2,661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27"/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tcW w:w="500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4 (Экспедиция 5)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Отопление и вентиляция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1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34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9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4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2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Горячее водоснабжение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1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34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9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4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2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Технологические нужды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1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34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9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4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2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1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34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9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4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2" w:type="pct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1,38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gridSpan w:val="27"/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tcW w:w="500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5 (Совхоз)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Отопление и вентиляция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51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1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9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Горячее водоснабжение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51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1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9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Технологические нужды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51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1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9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0,3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0,3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51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0,3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0,3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0,3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9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0,3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31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0,3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0,3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9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0,3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4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2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0,3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27"/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tcW w:w="500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Электрокотельная ДТВ ОАО «РЖД»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Отопление и вентиляция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1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9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Горячее водоснабжение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1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9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Технологические нужды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1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9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1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2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09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27"/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tcW w:w="500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Электрокотельная ПС-500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Отопление и вентиляция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1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8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Горячее водоснабжение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1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8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Технологические нужды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1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8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0,2596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0,2596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0,2596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0,2596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0,2596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6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0,2596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1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0,2596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0,2596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8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0,2596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3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0,2596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1010" w:type="pct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муниципальному образованию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64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64,9526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4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66,3486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W w:w="466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69,37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5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70,98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75,5</w:t>
            </w:r>
            <w:r>
              <w:rPr>
                <w:bCs/>
                <w:sz w:val="22"/>
                <w:szCs w:val="22"/>
              </w:rPr>
              <w:t xml:space="preserve">9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26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77,5</w:t>
            </w:r>
            <w:r>
              <w:rPr>
                <w:bCs/>
                <w:sz w:val="22"/>
                <w:szCs w:val="22"/>
              </w:rPr>
              <w:t xml:space="preserve">8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6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71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78,6</w:t>
            </w:r>
            <w:r>
              <w:rPr>
                <w:bCs/>
                <w:sz w:val="22"/>
                <w:szCs w:val="22"/>
              </w:rPr>
              <w:t xml:space="preserve">3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7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99,02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418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99,02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36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99,02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</w:tbl>
    <w:p>
      <w:pPr>
        <w:ind w:firstLine="709"/>
        <w:jc w:val="both"/>
        <w:spacing w:before="120"/>
        <w:tabs>
          <w:tab w:val="left" w:pos="567" w:leader="none"/>
          <w:tab w:val="left" w:pos="1276" w:leader="none"/>
          <w:tab w:val="right" w:pos="9923" w:leader="dot"/>
        </w:tabs>
        <w:rPr>
          <w:rFonts w:eastAsiaTheme="minorEastAsia"/>
        </w:rPr>
        <w:sectPr>
          <w:footnotePr/>
          <w:endnotePr/>
          <w:type w:val="nextPage"/>
          <w:pgSz w:w="16838" w:h="11906" w:orient="landscape"/>
          <w:pgMar w:top="709" w:right="851" w:bottom="851" w:left="851" w:header="340" w:footer="0" w:gutter="0"/>
          <w:cols w:num="1" w:sep="0" w:space="708" w:equalWidth="1"/>
          <w:docGrid w:linePitch="360"/>
          <w:titlePg/>
        </w:sectPr>
      </w:pPr>
      <w:r>
        <w:rPr>
          <w:rFonts w:eastAsiaTheme="minorEastAsia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77" w:name="_Toc149055607"/>
      <w:r>
        <w:rPr>
          <w:rFonts w:eastAsiaTheme="majorEastAsia"/>
          <w:bCs/>
        </w:rPr>
        <w:t xml:space="preserve">2.4. Прогнозы приростов объемов потребления т</w:t>
      </w:r>
      <w:r>
        <w:rPr>
          <w:rFonts w:eastAsiaTheme="majorEastAsia"/>
          <w:bCs/>
        </w:rPr>
        <w:t xml:space="preserve">епловой энергии (мощности) и теплоносителя с разделением по видам теплопотребления в каждом расчетном элементе территориального деления и в зоне действия каждого из существующих или предлагаемых для строительства источников тепловой энергии на каждом этапе</w:t>
      </w:r>
      <w:bookmarkEnd w:id="77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tabs>
          <w:tab w:val="left" w:pos="0" w:leader="none"/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На перспективу к тепловым сетям котельной №1 и №2 планируется подключение объектов, указанных в Таблице 35.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0" w:leader="none"/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Прогнозируемые приросты объемов потребления тепловой энергии (мощности) и теплоносителя в зоне действия отдельной котельной указаны в Таблице 36.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78" w:name="_Toc149055608"/>
      <w:r>
        <w:rPr>
          <w:rFonts w:eastAsiaTheme="majorEastAsia"/>
          <w:bCs/>
        </w:rPr>
        <w:t xml:space="preserve">2.5. Прогнозы приростов объемов потребления тепловой энергии (мощности) и теплоносителя с разделением по видам теплопотребления в расчетных элементах территориального деления и в зонах действия индивидуального теплоснабжения на каждом этапе</w:t>
      </w:r>
      <w:bookmarkEnd w:id="78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0" w:leader="none"/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Приросты объемов потребления тепловой энергии (мощности) и теплоносителя в зонах действия индивидуального теплоснабжения Тайшетского городского поселения на перспективу не прогнозируются.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79" w:name="_Toc149055609"/>
      <w:r>
        <w:rPr>
          <w:rFonts w:eastAsiaTheme="majorEastAsia"/>
          <w:bCs/>
        </w:rPr>
        <w:t xml:space="preserve">2.6. Прогнозы приростов объемов потребления тепловой энергии (мощности) и теплоносителя объектами, расположенными в производственных зонах, при условии возможных изменений производственных зон и их перепрофилирования и приростов объемов потребления тепл</w:t>
      </w:r>
      <w:r>
        <w:rPr>
          <w:rFonts w:eastAsiaTheme="majorEastAsia"/>
          <w:bCs/>
        </w:rPr>
        <w:t xml:space="preserve">овой энергии (мощности) производственными объектами с разделением по видам теплопотребления и по видам теплоносителя (горячая вода и пар) в зоне действия каждого из существующих или предлагаемых для строительства источников тепловой энергии на каждом этапе</w:t>
      </w:r>
      <w:bookmarkEnd w:id="79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0" w:leader="none"/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Приросты объемов потребления тепловой энергии (м</w:t>
      </w:r>
      <w:r>
        <w:rPr>
          <w:rFonts w:eastAsiaTheme="minorEastAsia"/>
        </w:rPr>
        <w:t xml:space="preserve">ощности) и теплоносителя объектами, расположенными в производственных зонах Тайшетского городского поселения и приросты объемов потребления тепловой энергии (мощности) производственными объектами муниципального образования на перспективу не прогнозируются.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keepLines/>
        <w:keepNext/>
        <w:widowControl w:val="off"/>
        <w:rPr>
          <w:rFonts w:eastAsiaTheme="majorEastAsia"/>
          <w:bCs/>
          <w:caps/>
          <w:szCs w:val="26"/>
        </w:rPr>
      </w:pPr>
      <w:r/>
      <w:bookmarkStart w:id="80" w:name="_Toc149055610"/>
      <w:r>
        <w:rPr>
          <w:rFonts w:eastAsiaTheme="majorEastAsia"/>
          <w:bCs/>
          <w:caps/>
          <w:szCs w:val="26"/>
        </w:rPr>
        <w:t xml:space="preserve">ГЛАВА 3. ЭЛЕКТРОННАЯ МОДЕЛЬ СИСТЕМЫ ТЕПЛОСНАБЖЕНИЯ ТАЙШЕТСКОГО МУНИЦИПАЛЬНОГО ОБРАЗОВАНИЯ «ТАЙШЕТСКОЕ ГОРОДСКОЕ ПОСЕЛЕНИЕ»</w:t>
      </w:r>
      <w:bookmarkEnd w:id="80"/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ind w:firstLine="709"/>
        <w:jc w:val="both"/>
        <w:tabs>
          <w:tab w:val="left" w:pos="0" w:leader="none"/>
          <w:tab w:val="left" w:pos="567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соответствии с Постановлением Правительства Российской Федерации от 22 февраля 2012 года №154 «О т</w:t>
      </w:r>
      <w:r>
        <w:rPr>
          <w:rFonts w:eastAsiaTheme="minorHAnsi"/>
          <w:lang w:eastAsia="en-US"/>
        </w:rPr>
        <w:t xml:space="preserve">ребованиях к схемам теплоснабжения, порядку их разработки и утверждения», при разработке схем теплоснабжения поселений с численностью населения менее 100 тысяч человек разработка электронной модели системы теплоснабжения поселения не является обязательной.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tabs>
          <w:tab w:val="left" w:pos="0" w:leader="none"/>
          <w:tab w:val="left" w:pos="567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Численность населения Тайшетского городского поселения по состоянию на отчетный (базовый) 2022 год составляет 32124 человека.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tabs>
          <w:tab w:val="left" w:pos="0" w:leader="none"/>
          <w:tab w:val="left" w:pos="567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соответствии с муници</w:t>
      </w:r>
      <w:r>
        <w:rPr>
          <w:rFonts w:eastAsiaTheme="minorHAnsi"/>
          <w:lang w:eastAsia="en-US"/>
        </w:rPr>
        <w:t xml:space="preserve">пальным контактом №72-з от 16 июня 2022 года на разработку схемы теплоснабжения Тайшетского городского поселения, разработка электронной модели системы теплоснабжения Тайшетского муниципального образования «Тайшетское городское поселение» не предусмотрена.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tabs>
          <w:tab w:val="left" w:pos="0" w:leader="none"/>
          <w:tab w:val="left" w:pos="567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EastAsia"/>
        </w:rPr>
        <w:t xml:space="preserve">Графические материалы (карты-</w:t>
      </w:r>
      <w:r>
        <w:rPr>
          <w:rFonts w:eastAsiaTheme="minorEastAsia"/>
          <w:lang w:val="en-US"/>
        </w:rPr>
        <w:t xml:space="preserve">c</w:t>
      </w:r>
      <w:r>
        <w:rPr>
          <w:rFonts w:eastAsiaTheme="minorEastAsia"/>
        </w:rPr>
        <w:t xml:space="preserve">хемы) систем теплоснабжения Тайшетского городского поселения представлены в </w:t>
      </w:r>
      <w:r>
        <w:rPr>
          <w:rFonts w:eastAsiaTheme="minorEastAsia"/>
          <w:shd w:val="clear" w:color="auto" w:fill="ffffff"/>
        </w:rPr>
        <w:t xml:space="preserve">Приложении 1 к Схеме теплоснабжения «</w:t>
      </w:r>
      <w:r>
        <w:rPr>
          <w:rFonts w:eastAsiaTheme="minorHAnsi"/>
          <w:lang w:eastAsia="en-US"/>
        </w:rPr>
        <w:t xml:space="preserve">Картографическая часть схемы теплоснабжения».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rFonts w:eastAsiaTheme="majorEastAsia"/>
          <w:bCs/>
          <w:caps/>
          <w:szCs w:val="26"/>
        </w:rPr>
      </w:pPr>
      <w:r>
        <w:rPr>
          <w:rFonts w:eastAsiaTheme="majorEastAsia"/>
          <w:bCs/>
          <w:caps/>
          <w:szCs w:val="26"/>
        </w:rPr>
        <w:t xml:space="preserve">ГЛАВА 4. СУЩЕСТВУЮЩИЕ И ПЕРСПЕКТИВНЫЕ БАЛАНСЫ</w:t>
      </w: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rFonts w:eastAsiaTheme="majorEastAsia"/>
          <w:bCs/>
          <w:caps/>
          <w:szCs w:val="26"/>
        </w:rPr>
      </w:pPr>
      <w:r>
        <w:rPr>
          <w:rFonts w:eastAsiaTheme="majorEastAsia"/>
          <w:bCs/>
          <w:caps/>
          <w:szCs w:val="26"/>
        </w:rPr>
        <w:t xml:space="preserve">ТЕПЛОВОЙ МОЩНОСТИ ИСТОЧНИКОВ ТЕПЛОВОЙ ЭНЕРГИИ И ТЕПЛОВОЙ НАГРУЗКИ ПОТРЕБИТЕЛЕЙ</w:t>
      </w: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ind w:firstLine="709"/>
        <w:jc w:val="both"/>
        <w:tabs>
          <w:tab w:val="left" w:pos="0" w:leader="none"/>
          <w:tab w:val="left" w:pos="567" w:leader="none"/>
          <w:tab w:val="right" w:pos="9923" w:leader="dot"/>
        </w:tabs>
        <w:rPr>
          <w:rFonts w:eastAsiaTheme="majorEastAsia"/>
          <w:bCs/>
        </w:rPr>
      </w:pPr>
      <w:r>
        <w:rPr>
          <w:rFonts w:eastAsiaTheme="majorEastAsia"/>
          <w:bCs/>
        </w:rPr>
        <w:t xml:space="preserve">4.1. Балансы существующей на базовый период схемы теплоснабжении тепловой мощности и перспективной тепловой нагрузки в каждой из зон действия источников тепловой энергии с определением резервов (дефицитов) существующей располагаемой </w:t>
      </w:r>
      <w:r>
        <w:rPr>
          <w:rFonts w:eastAsiaTheme="majorEastAsia"/>
          <w:bCs/>
        </w:rPr>
        <w:t xml:space="preserve">тепловой мощности источников тепловой энергии, устанавливаемых на основании величины расчетной тепловой нагрузки</w:t>
      </w:r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Балансы существующей тепловой мощности и перспективной теплово</w:t>
      </w:r>
      <w:r>
        <w:rPr>
          <w:rFonts w:eastAsiaTheme="minorEastAsia"/>
        </w:rPr>
        <w:t xml:space="preserve">й нагрузки в зонах действия котельных Тайшетского городского поселения с определением резервов (дефицитов) существующей располагаемой тепловой мощности котельных, устанавливаемых на основании величины расчетной тепловой нагрузки, представлены в Таблице 37.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hanging="142"/>
        <w:jc w:val="right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Таблица 37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Балансы существующей тепловой мощности и перспективной тепловой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нагрузки в зонах действия котельных Тайшетского городского поселения</w:t>
      </w:r>
      <w:r>
        <w:rPr>
          <w:rFonts w:eastAsiaTheme="minorEastAsia"/>
        </w:rPr>
      </w:r>
      <w:r>
        <w:rPr>
          <w:rFonts w:eastAsiaTheme="minorEastAsia"/>
        </w:rPr>
      </w:r>
    </w:p>
    <w:tbl>
      <w:tblPr>
        <w:tblW w:w="5481" w:type="pct"/>
        <w:tblInd w:w="-601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Look w:val="04A0" w:firstRow="1" w:lastRow="0" w:firstColumn="1" w:lastColumn="0" w:noHBand="0" w:noVBand="1"/>
      </w:tblPr>
      <w:tblGrid>
        <w:gridCol w:w="2028"/>
        <w:gridCol w:w="847"/>
        <w:gridCol w:w="804"/>
        <w:gridCol w:w="898"/>
        <w:gridCol w:w="850"/>
        <w:gridCol w:w="850"/>
        <w:gridCol w:w="850"/>
        <w:gridCol w:w="850"/>
        <w:gridCol w:w="850"/>
        <w:gridCol w:w="850"/>
        <w:gridCol w:w="814"/>
      </w:tblGrid>
      <w:tr>
        <w:tblPrEx/>
        <w:trPr>
          <w:trHeight w:val="407"/>
        </w:trPr>
        <w:tc>
          <w:tcPr>
            <w:shd w:val="clear" w:color="auto" w:fill="auto"/>
            <w:tcW w:w="967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Наименование муниципальной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0"/>
            <w:shd w:val="clear" w:color="auto" w:fill="auto"/>
            <w:tcW w:w="403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Тепловая нагрузка потребителей котельной, Гкал/час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W w:w="967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right w:val="single" w:color="auto" w:sz="4" w:space="0"/>
            </w:tcBorders>
            <w:tcW w:w="787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Базовая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Borders>
              <w:left w:val="single" w:color="auto" w:sz="4" w:space="0"/>
            </w:tcBorders>
            <w:tcW w:w="3247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Перспективная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W w:w="967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2022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8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2023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428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2024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405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2025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405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405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2027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405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2028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405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2029-2033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405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2034-2038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388" w:type="pc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2039-2041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106"/>
        </w:trPr>
        <w:tc>
          <w:tcPr>
            <w:shd w:val="clear" w:color="auto" w:fill="auto"/>
            <w:tcW w:w="96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20,54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8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21,94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42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24,65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26,25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29,95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31,57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32,51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49,68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49,68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38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49,68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</w:tr>
      <w:tr>
        <w:tblPrEx/>
        <w:trPr>
          <w:trHeight w:val="425"/>
        </w:trPr>
        <w:tc>
          <w:tcPr>
            <w:shd w:val="clear" w:color="auto" w:fill="auto"/>
            <w:tcW w:w="96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в т.ч. г. Тайшет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20,45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8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21,85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42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24,56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25,34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27,40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23,86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21,92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34,62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34,62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38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34,62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</w:tr>
      <w:tr>
        <w:tblPrEx/>
        <w:trPr>
          <w:trHeight w:val="302"/>
        </w:trPr>
        <w:tc>
          <w:tcPr>
            <w:shd w:val="clear" w:color="auto" w:fill="auto"/>
            <w:tcW w:w="96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в т.ч. с. Старый-Акульшет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0,09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8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0,09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42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0,09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0,91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2,55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7,72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10,59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15,06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15,06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38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15,06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96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2 (ШПЗ)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33,39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8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33,39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42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33,6977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33,718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34,62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34,99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35,1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37,88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37,88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38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37,88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96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3 (Мелькомбинат)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2,22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8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2,22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42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2,22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2,22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2,22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2,22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2,22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2,661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2,661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38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2,661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96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4 (Экспедиция 5)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1,383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8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1,383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42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1,383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1,383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1,383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1,383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1,383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1,383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1,383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38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1,383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96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5 (Совхоз)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8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42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38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96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Электрокотельная ДТВ ОАО «РЖД»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6,86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8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6,86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42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6,86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6,86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6,86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6,86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6,86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6,86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6,86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38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6,86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967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Электрокотельная ПС-500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0,2596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8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0,2596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42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0,260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0,260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0,260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0,260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0,260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0,260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0,260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38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0,260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967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Итого по муниципальному образованию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64,953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8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66,348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42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69,370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70,991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75,593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77,583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78,633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99,024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99,024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38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99,024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96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в т.ч. город Тайшет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04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64,863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83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66,259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42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69,280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70,081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73,041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69,868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68,044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83,965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83,965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38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83,965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96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в т.ч. село Старый-Акульшет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404" w:type="pct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0,090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right w:val="single" w:color="auto" w:sz="4" w:space="0"/>
            </w:tcBorders>
            <w:tcW w:w="383" w:type="pct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0,090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42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0,090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0,910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2,552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7,715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10,589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15,059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auto" w:fill="auto"/>
            <w:tcW w:w="405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15,059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388" w:type="pct"/>
            <w:textDirection w:val="lrTb"/>
            <w:noWrap w:val="false"/>
          </w:tcPr>
          <w:p>
            <w:pPr>
              <w:jc w:val="center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15,059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</w:tr>
    </w:tbl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>
        <w:rPr>
          <w:rFonts w:eastAsiaTheme="majorEastAsia"/>
          <w:bCs/>
        </w:rPr>
      </w:r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81" w:name="_Toc149055611"/>
      <w:r>
        <w:rPr>
          <w:rFonts w:eastAsiaTheme="majorEastAsia"/>
          <w:bCs/>
        </w:rPr>
        <w:t xml:space="preserve">4.2. Гидравлическ</w:t>
      </w:r>
      <w:r>
        <w:rPr>
          <w:rFonts w:eastAsiaTheme="majorEastAsia"/>
          <w:bCs/>
        </w:rPr>
        <w:t xml:space="preserve">ий расчет передачи теплоносителя для каждого магистрального вывода с целью определения возможности (невозможности) обеспечения тепловой энергией существующих и перспективных потребителей, присоединенных к тепловой сети от каждого источника тепловой энергии</w:t>
      </w:r>
      <w:bookmarkEnd w:id="81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993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Гидравлический расчет передачи теплоносителя для магистральных выводов тепловых сетей </w:t>
      </w:r>
      <w:r>
        <w:rPr>
          <w:rFonts w:eastAsiaTheme="minorEastAsia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с целью определения возможности (невозможности) обеспечения тепловой энергией существующих и перспективных потребителей, присоединенных к тепловым сетям котельных, представлен в Таблице 38.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right"/>
        <w:tabs>
          <w:tab w:val="left" w:pos="993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38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993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Гидравлический расчет передачи теплоносителя для магистральных выводов 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shd w:val="clear" w:color="auto" w:fill="ffffff"/>
        </w:rPr>
        <w:t xml:space="preserve">тепловых сетей </w:t>
      </w:r>
      <w:r>
        <w:rPr>
          <w:rFonts w:eastAsiaTheme="minorEastAsia"/>
        </w:rPr>
        <w:t xml:space="preserve">котельных Тайшетского городского поселения</w:t>
      </w:r>
      <w:r>
        <w:rPr>
          <w:rFonts w:eastAsiaTheme="minorEastAsia"/>
        </w:rPr>
      </w:r>
      <w:r>
        <w:rPr>
          <w:rFonts w:eastAsiaTheme="minorEastAsia"/>
        </w:rPr>
      </w:r>
    </w:p>
    <w:tbl>
      <w:tblPr>
        <w:tblW w:w="928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1417"/>
        <w:gridCol w:w="2268"/>
        <w:gridCol w:w="2374"/>
      </w:tblGrid>
      <w:tr>
        <w:tblPrEx/>
        <w:trPr>
          <w:trHeight w:val="20"/>
        </w:trPr>
        <w:tc>
          <w:tcPr>
            <w:tcW w:w="322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Наименование магистрального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вывода тепловой сети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Тип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трубопровода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ind w:left="-107" w:firstLine="107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Располагаемое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давление сетевой воды в начале участка тепловой сети, 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374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Давление сетевой воды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в конце тепловой сети (самый удаленный потребитель), м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2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№1 (ТКСИ)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Подающий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37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46,3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2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Обратный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21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37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24,2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2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№2 (ШПЗ)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Подающий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72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37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51,5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106"/>
        </w:trPr>
        <w:tc>
          <w:tcPr>
            <w:tcW w:w="322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Обратный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26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37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46,5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2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№3 (Мелькомбинат)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Подающий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37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2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Обратный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37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2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Котельная №4 (Экспедиция 5)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Подающий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37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33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2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Обратный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28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37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31,5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2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Котельная №5 (Совхоз)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Подающий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37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32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2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Обратный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19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37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29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2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Электрокотельная ДТВ ОАО «РЖД»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Подающий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37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57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2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Обратный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40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37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37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2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Электрокотельная ПС-500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Подающий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Нет данных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374" w:type="dxa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Нет данных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0"/>
        </w:trPr>
        <w:tc>
          <w:tcPr>
            <w:tcW w:w="322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Обратный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Нет данных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374" w:type="dxa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Нет данных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</w:tbl>
    <w:p>
      <w:pPr>
        <w:ind w:firstLine="709"/>
        <w:jc w:val="both"/>
        <w:keepLines/>
        <w:keepNext/>
        <w:widowControl w:val="off"/>
        <w:rPr>
          <w:rFonts w:eastAsiaTheme="majorEastAsia"/>
        </w:rPr>
      </w:pPr>
      <w:r>
        <w:rPr>
          <w:rFonts w:eastAsiaTheme="majorEastAsia"/>
          <w:bCs/>
          <w:highlight w:val="none"/>
        </w:rPr>
      </w:r>
      <w:r>
        <w:rPr>
          <w:rFonts w:eastAsiaTheme="majorEastAsia"/>
        </w:rPr>
      </w:r>
      <w:r>
        <w:rPr>
          <w:rFonts w:eastAsiaTheme="maj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highlight w:val="none"/>
        </w:rPr>
      </w:pPr>
      <w:r/>
      <w:bookmarkStart w:id="82" w:name="_Toc149055612"/>
      <w:r>
        <w:rPr>
          <w:rFonts w:eastAsiaTheme="majorEastAsia"/>
          <w:bCs/>
        </w:rPr>
        <w:t xml:space="preserve">4.3. Выводы о резервах (дефицитах) существующей системы теплоснабжения при обеспечении перспективной тепловой нагрузки потребителей</w:t>
      </w:r>
      <w:bookmarkEnd w:id="82"/>
      <w:r>
        <w:rPr>
          <w:rFonts w:eastAsiaTheme="majorEastAsia"/>
          <w:highlight w:val="none"/>
        </w:rPr>
      </w:r>
      <w:r>
        <w:rPr>
          <w:rFonts w:eastAsiaTheme="majorEastAsia"/>
          <w:highlight w:val="none"/>
        </w:rPr>
      </w:r>
    </w:p>
    <w:p>
      <w:pPr>
        <w:ind w:firstLine="709"/>
        <w:jc w:val="both"/>
        <w:rPr>
          <w:rFonts w:eastAsiaTheme="minorEastAsia"/>
        </w:rPr>
      </w:pPr>
      <w:r>
        <w:rPr>
          <w:rFonts w:eastAsiaTheme="minorEastAsia"/>
        </w:rPr>
        <w:t xml:space="preserve">Существующие тепловые мощности муниципальных котельных Тайшетского городского поселения превышают существующую тепловую нагрузку потребителей тепловой эне</w:t>
      </w:r>
      <w:r>
        <w:rPr>
          <w:rFonts w:eastAsiaTheme="minorEastAsia"/>
        </w:rPr>
        <w:t xml:space="preserve">ргии муниципальных котельных. Резервов существующей тепловой мощности систем теплоснабжения муниципальных котельных достаточно для обеспечения тепловой нагрузки потребителей тепловой энергии муниципальных котельных на перспективу, кроме котельной №2 (ШПЗ).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rPr>
          <w:rFonts w:eastAsiaTheme="minorEastAsia"/>
        </w:rPr>
      </w:pPr>
      <w:r>
        <w:rPr>
          <w:rFonts w:eastAsiaTheme="minorEastAsia"/>
        </w:rPr>
        <w:t xml:space="preserve">В целях формирования решения данной проблемы предполагается предусмотреть несколько вариантов.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rPr>
          <w:rFonts w:eastAsiaTheme="minorEastAsia"/>
        </w:rPr>
      </w:pPr>
      <w:r>
        <w:rPr>
          <w:rFonts w:eastAsiaTheme="minorEastAsia"/>
        </w:rPr>
        <w:t xml:space="preserve">Первый вариант предполагает модернизацию теплового источника, в рамках которой, будет произведена замена котельных агрегатов и оборудования котельной № 2 (ШПЗ) с характеристиками обеспечивающих в будущем перспективные нагрузки отопления.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rPr>
          <w:rFonts w:eastAsiaTheme="minorEastAsia"/>
        </w:rPr>
      </w:pPr>
      <w:r>
        <w:rPr>
          <w:rFonts w:eastAsiaTheme="minorEastAsia"/>
        </w:rPr>
        <w:t xml:space="preserve">Во втором варианте рассматривается строительство нового источника тепловой энергии в пределах нахождения существующей котельной.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rPr>
          <w:rFonts w:eastAsiaTheme="minorEastAsia"/>
        </w:rPr>
      </w:pPr>
      <w:r>
        <w:rPr>
          <w:rFonts w:eastAsiaTheme="minorEastAsia"/>
        </w:rPr>
        <w:t xml:space="preserve">Данное решение, возможно, принять после согласования всех основных мероприятий и особенностей каждого из вариантов развития событий.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rPr>
          <w:rFonts w:eastAsiaTheme="minorEastAsia"/>
        </w:rPr>
      </w:pPr>
      <w:r>
        <w:rPr>
          <w:rFonts w:eastAsiaTheme="minorEastAsia"/>
        </w:rPr>
        <w:t xml:space="preserve">На момент разработки схемы теплоснабжения конкретная последовательность выбора и реализации мероприятий не выработана. Для решения данной проблемы необходима предварительная работа по согласованию на региональном уровне.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jc w:val="center"/>
        <w:keepLines/>
        <w:keepNext/>
        <w:widowControl w:val="off"/>
        <w:rPr>
          <w:rFonts w:eastAsiaTheme="majorEastAsia"/>
          <w:bCs/>
          <w:caps/>
          <w:szCs w:val="26"/>
        </w:rPr>
      </w:pP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contextualSpacing/>
        <w:jc w:val="center"/>
        <w:keepLines/>
        <w:keepNext/>
        <w:widowControl w:val="off"/>
        <w:rPr>
          <w:rFonts w:eastAsiaTheme="majorEastAsia"/>
          <w:bCs/>
          <w:caps/>
          <w:szCs w:val="26"/>
        </w:rPr>
      </w:pPr>
      <w:r/>
      <w:bookmarkStart w:id="83" w:name="_Toc149055613"/>
      <w:r>
        <w:rPr>
          <w:rFonts w:eastAsiaTheme="majorEastAsia"/>
          <w:bCs/>
          <w:caps/>
          <w:szCs w:val="26"/>
        </w:rPr>
        <w:t xml:space="preserve">ГЛАВА 5. МАСТЕР-ПЛАН РАЗВИТИЯ СИСТЕМ ТЕПЛОСНАБЖЕИЯ</w:t>
      </w: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contextualSpacing/>
        <w:jc w:val="center"/>
        <w:keepLines/>
        <w:keepNext/>
        <w:widowControl w:val="off"/>
        <w:rPr>
          <w:rFonts w:eastAsiaTheme="majorEastAsia"/>
          <w:bCs/>
          <w:caps/>
          <w:szCs w:val="26"/>
        </w:rPr>
      </w:pPr>
      <w:r>
        <w:rPr>
          <w:rFonts w:eastAsiaTheme="majorEastAsia"/>
          <w:bCs/>
          <w:caps/>
          <w:szCs w:val="26"/>
        </w:rPr>
        <w:t xml:space="preserve"> ТАЙШЕТСКОГО МУНИЦИПАЛЬНОГО ОБРАЗОВАНИЯ «ТАЙШЕТСКОЕ ГОРОДСКОЕ ПОСЕЛЕНИЕ»</w:t>
      </w:r>
      <w:bookmarkEnd w:id="83"/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84" w:name="_Toc149055614"/>
      <w:r>
        <w:rPr>
          <w:rFonts w:eastAsiaTheme="majorEastAsia"/>
          <w:bCs/>
        </w:rPr>
        <w:t xml:space="preserve">5.1. Описание вариантов перспективного развития систем теплоснабжения Тайшетского муниципального образования «Тайшетское городское поселение»</w:t>
      </w:r>
      <w:bookmarkEnd w:id="84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Генеральным планом Тайшетского муниципального образования «Тайшетское городское поселение», разработанным на расчетный срок до 2041 года, на территории муниципального образования предусматривается: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использование резервных тепловых мощностей существующих теплоисточников для реконструируемых и новых объектов строительства;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модернизация существующих теплоисточников;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EastAsia"/>
        </w:rPr>
      </w:pPr>
      <w:r>
        <w:rPr>
          <w:rFonts w:eastAsiaTheme="minorEastAsia"/>
        </w:rPr>
        <w:t xml:space="preserve">децентрализованное теплообеспечение намечаемой к строительству малоэтажной застройки предполагается от индивидуальных автономных источников тепла, работающих на угле, дровах, электричестве</w:t>
      </w:r>
      <w:r>
        <w:t xml:space="preserve">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EastAsia"/>
        </w:rPr>
      </w:pPr>
      <w:r>
        <w:rPr>
          <w:rFonts w:eastAsiaTheme="minorEastAsia"/>
        </w:rPr>
        <w:t xml:space="preserve">выполнить перевод существующих открытых систем теплоснабжения (горячего водоснабжения) в закрытые системы горячего </w:t>
      </w:r>
      <w:r>
        <w:rPr>
          <w:rFonts w:eastAsiaTheme="minorEastAsia"/>
        </w:rPr>
        <w:t xml:space="preserve">водоснабжения;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Иные варианты перспективного развития систем теплоснабжения Тайшетского городского поселения по состоянию на отчетный (базовый)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 не предусмотрены.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85" w:name="_Toc149055615"/>
      <w:r>
        <w:rPr>
          <w:rFonts w:eastAsiaTheme="majorEastAsia"/>
          <w:bCs/>
        </w:rPr>
        <w:t xml:space="preserve">5.2. Технико-экономическое сравнение вариантов перспективного развития систем теплоснабжения Тайшетского муниципального образования «Тайшетское городское поселение»</w:t>
      </w:r>
      <w:bookmarkEnd w:id="85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Первым вариантом перспективного развития систем теплоснабжения Тайшетского городского поселения является выполнение работ в соответствии с инвестиционной программой ОП «ТТС» АО </w:t>
      </w:r>
      <w:r>
        <w:rPr>
          <w:shd w:val="clear" w:color="auto" w:fill="ffffff"/>
        </w:rPr>
        <w:t xml:space="preserve">«Байкалэнерго» и </w:t>
      </w:r>
      <w:r>
        <w:rPr>
          <w:rFonts w:eastAsiaTheme="minorEastAsia"/>
        </w:rPr>
        <w:t xml:space="preserve">Генеральным планом Тайшетского городского поселения. Мероприятия в рамках перспективного развития</w:t>
      </w:r>
      <w:r>
        <w:rPr>
          <w:rFonts w:eastAsiaTheme="minorEastAsia"/>
        </w:rPr>
        <w:t xml:space="preserve"> систем теплоснабжения указаны в таблицах 51 и 52 пункта 12.1 главы 12 Обосновывающих материалов.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На момент разработки схемы теплоснабжения второй и другие варианты перспективного развития систем теплоснабжения, а также замечания к первому варианту не поступали.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Предложения по второму варианту перспективного развития систем теплоснабжения возможно отразить только в том же объеме, с учетом индекс-дефляторов, в укрупненном размере на год реализации.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Технико-экономическое сравнение вариантов перспективного развития систем теплоснабжения Тайшетского городского поселения представлено в Таблице 39.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right"/>
        <w:widowControl w:val="off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39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widowControl w:val="off"/>
        <w:tabs>
          <w:tab w:val="left" w:pos="567" w:leader="none"/>
          <w:tab w:val="right" w:pos="9923" w:leader="dot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highlight w:val="none"/>
          <w:shd w:val="clear" w:color="auto" w:fill="ffffff"/>
        </w:rPr>
        <w:t xml:space="preserve">Технико-экономическое сравнение вариантов перспективного развития 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jc w:val="center"/>
        <w:widowControl w:val="off"/>
        <w:tabs>
          <w:tab w:val="left" w:pos="567" w:leader="none"/>
          <w:tab w:val="right" w:pos="9923" w:leader="dot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highlight w:val="none"/>
          <w:shd w:val="clear" w:color="auto" w:fill="ffffff"/>
        </w:rPr>
        <w:t xml:space="preserve">систем теплоснабжения Тайшетского городского поселения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tbl>
      <w:tblPr>
        <w:tblW w:w="934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835"/>
        <w:gridCol w:w="2995"/>
      </w:tblGrid>
      <w:tr>
        <w:tblPrEx/>
        <w:trPr/>
        <w:tc>
          <w:tcPr>
            <w:tcW w:w="3510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567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highlight w:val="none"/>
              </w:rPr>
            </w:pPr>
            <w:r>
              <w:rPr>
                <w:rFonts w:eastAsiaTheme="minorEastAsia"/>
                <w:sz w:val="22"/>
                <w:szCs w:val="22"/>
                <w:highlight w:val="none"/>
              </w:rPr>
              <w:t xml:space="preserve">Наименование критерия сравнения</w:t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</w:p>
        </w:tc>
        <w:tc>
          <w:tcPr>
            <w:tcW w:w="283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567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highlight w:val="none"/>
              </w:rPr>
            </w:pPr>
            <w:r>
              <w:rPr>
                <w:rFonts w:eastAsiaTheme="minorEastAsia"/>
                <w:sz w:val="22"/>
                <w:szCs w:val="22"/>
                <w:highlight w:val="none"/>
              </w:rPr>
              <w:t xml:space="preserve">Первый вариант  перспективного развития систем теплоснабжения муниципального образования</w:t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</w:p>
        </w:tc>
        <w:tc>
          <w:tcPr>
            <w:tcW w:w="299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567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highlight w:val="none"/>
              </w:rPr>
            </w:pPr>
            <w:r>
              <w:rPr>
                <w:rFonts w:eastAsiaTheme="minorEastAsia"/>
                <w:sz w:val="22"/>
                <w:szCs w:val="22"/>
                <w:highlight w:val="none"/>
              </w:rPr>
              <w:t xml:space="preserve">Второй вариант  перспективного развития систем теплоснабжения муниципального образования</w:t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</w:p>
        </w:tc>
      </w:tr>
      <w:tr>
        <w:tblPrEx/>
        <w:trPr/>
        <w:tc>
          <w:tcPr>
            <w:tcW w:w="3510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567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highlight w:val="none"/>
              </w:rPr>
            </w:pPr>
            <w:r>
              <w:rPr>
                <w:rFonts w:eastAsiaTheme="minorEastAsia"/>
                <w:sz w:val="22"/>
                <w:szCs w:val="22"/>
                <w:highlight w:val="none"/>
              </w:rPr>
              <w:t xml:space="preserve">Капиталовложения, тыс. руб.</w:t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</w:p>
        </w:tc>
        <w:tc>
          <w:tcPr>
            <w:shd w:val="clear" w:color="auto" w:fill="auto"/>
            <w:tcW w:w="283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567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highlight w:val="none"/>
              </w:rPr>
            </w:pPr>
            <w:r>
              <w:rPr>
                <w:rFonts w:eastAsiaTheme="minorEastAsia"/>
                <w:sz w:val="22"/>
                <w:szCs w:val="22"/>
                <w:highlight w:val="none"/>
              </w:rPr>
              <w:t xml:space="preserve">13 233 120*</w:t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</w:p>
        </w:tc>
        <w:tc>
          <w:tcPr>
            <w:shd w:val="clear" w:color="auto" w:fill="auto"/>
            <w:tcW w:w="299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567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highlight w:val="none"/>
              </w:rPr>
            </w:pPr>
            <w:r>
              <w:rPr>
                <w:rFonts w:eastAsiaTheme="minorEastAsia"/>
                <w:sz w:val="22"/>
                <w:szCs w:val="22"/>
                <w:highlight w:val="none"/>
              </w:rPr>
              <w:t xml:space="preserve">13 003 500*</w:t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</w:p>
        </w:tc>
      </w:tr>
      <w:tr>
        <w:tblPrEx/>
        <w:trPr/>
        <w:tc>
          <w:tcPr>
            <w:tcW w:w="3510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567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highlight w:val="none"/>
              </w:rPr>
            </w:pPr>
            <w:r>
              <w:rPr>
                <w:rFonts w:eastAsiaTheme="minorEastAsia"/>
                <w:sz w:val="22"/>
                <w:szCs w:val="22"/>
                <w:highlight w:val="none"/>
              </w:rPr>
              <w:t xml:space="preserve">Выработка тепловой энергии, Гкал/год</w:t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</w:p>
        </w:tc>
        <w:tc>
          <w:tcPr>
            <w:shd w:val="clear" w:color="auto" w:fill="auto"/>
            <w:tcW w:w="283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567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highlight w:val="none"/>
              </w:rPr>
            </w:pPr>
            <w:r>
              <w:rPr>
                <w:rFonts w:eastAsiaTheme="minorEastAsia"/>
                <w:sz w:val="22"/>
                <w:szCs w:val="22"/>
                <w:highlight w:val="none"/>
              </w:rPr>
              <w:t xml:space="preserve">341744,5</w:t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</w:p>
        </w:tc>
        <w:tc>
          <w:tcPr>
            <w:shd w:val="clear" w:color="auto" w:fill="auto"/>
            <w:tcW w:w="299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567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highlight w:val="none"/>
              </w:rPr>
            </w:pPr>
            <w:r>
              <w:rPr>
                <w:rFonts w:eastAsiaTheme="minorEastAsia"/>
                <w:sz w:val="22"/>
                <w:szCs w:val="22"/>
                <w:highlight w:val="none"/>
              </w:rPr>
              <w:t xml:space="preserve">341744,5</w:t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</w:p>
        </w:tc>
      </w:tr>
      <w:tr>
        <w:tblPrEx/>
        <w:trPr/>
        <w:tc>
          <w:tcPr>
            <w:tcW w:w="3510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567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highlight w:val="none"/>
              </w:rPr>
            </w:pPr>
            <w:r>
              <w:rPr>
                <w:rFonts w:eastAsiaTheme="minorEastAsia"/>
                <w:sz w:val="22"/>
                <w:szCs w:val="22"/>
                <w:highlight w:val="none"/>
              </w:rPr>
              <w:t xml:space="preserve">Количество потребителей, ед.</w:t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</w:p>
        </w:tc>
        <w:tc>
          <w:tcPr>
            <w:shd w:val="clear" w:color="auto" w:fill="auto"/>
            <w:tcW w:w="283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567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highlight w:val="none"/>
              </w:rPr>
            </w:pPr>
            <w:r>
              <w:rPr>
                <w:rFonts w:eastAsiaTheme="minorEastAsia"/>
                <w:sz w:val="22"/>
                <w:szCs w:val="22"/>
                <w:highlight w:val="none"/>
              </w:rPr>
              <w:t xml:space="preserve">510</w:t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</w:p>
        </w:tc>
        <w:tc>
          <w:tcPr>
            <w:shd w:val="clear" w:color="auto" w:fill="auto"/>
            <w:tcW w:w="299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567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highlight w:val="none"/>
              </w:rPr>
            </w:pPr>
            <w:r>
              <w:rPr>
                <w:rFonts w:eastAsiaTheme="minorEastAsia"/>
                <w:sz w:val="22"/>
                <w:szCs w:val="22"/>
                <w:highlight w:val="none"/>
              </w:rPr>
              <w:t xml:space="preserve">557</w:t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</w:p>
        </w:tc>
      </w:tr>
      <w:tr>
        <w:tblPrEx/>
        <w:trPr/>
        <w:tc>
          <w:tcPr>
            <w:tcW w:w="3510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567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highlight w:val="none"/>
              </w:rPr>
            </w:pPr>
            <w:r>
              <w:rPr>
                <w:rFonts w:eastAsiaTheme="minorEastAsia"/>
                <w:sz w:val="22"/>
                <w:szCs w:val="22"/>
                <w:highlight w:val="none"/>
              </w:rPr>
              <w:t xml:space="preserve">Сокращение потерь при передаче тепловой энергии, %</w:t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</w:p>
        </w:tc>
        <w:tc>
          <w:tcPr>
            <w:shd w:val="clear" w:color="auto" w:fill="auto"/>
            <w:tcW w:w="283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567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highlight w:val="none"/>
              </w:rPr>
            </w:pPr>
            <w:r>
              <w:rPr>
                <w:rFonts w:eastAsiaTheme="minorEastAsia"/>
                <w:sz w:val="22"/>
                <w:szCs w:val="22"/>
                <w:highlight w:val="none"/>
              </w:rPr>
              <w:t xml:space="preserve">1</w:t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</w:p>
        </w:tc>
        <w:tc>
          <w:tcPr>
            <w:shd w:val="clear" w:color="auto" w:fill="auto"/>
            <w:tcW w:w="299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567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highlight w:val="none"/>
              </w:rPr>
            </w:pPr>
            <w:r>
              <w:rPr>
                <w:rFonts w:eastAsiaTheme="minorEastAsia"/>
                <w:sz w:val="22"/>
                <w:szCs w:val="22"/>
                <w:highlight w:val="none"/>
              </w:rPr>
              <w:t xml:space="preserve">1</w:t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  <w:r>
              <w:rPr>
                <w:rFonts w:eastAsiaTheme="minorEastAsia"/>
                <w:sz w:val="22"/>
                <w:szCs w:val="22"/>
                <w:highlight w:val="none"/>
              </w:rPr>
            </w:r>
          </w:p>
        </w:tc>
      </w:tr>
    </w:tbl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highlight w:val="none"/>
          <w:shd w:val="clear" w:color="auto" w:fill="ffffff"/>
        </w:rPr>
        <w:t xml:space="preserve">*Стоимость затрат необходимо актуализировать в год реализации проекта, путем разработки проектно-сметной документации.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  <w:highlight w:val="none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highlight w:val="none"/>
        </w:rPr>
        <w:t xml:space="preserve">Стоимость </w:t>
      </w:r>
      <w:r>
        <w:rPr>
          <w:rFonts w:eastAsiaTheme="majorEastAsia"/>
          <w:bCs/>
          <w:highlight w:val="none"/>
        </w:rPr>
        <w:t xml:space="preserve">капиталовложения по </w:t>
      </w:r>
      <w:r>
        <w:rPr>
          <w:rFonts w:eastAsiaTheme="minorEastAsia"/>
          <w:highlight w:val="none"/>
        </w:rPr>
        <w:t xml:space="preserve">второму варианту перспективного развития систем теплоснабжения муниципального образования определена на основе анализа затрат на указанные мероприятия первого варианта в сравнении со стоимос</w:t>
      </w:r>
      <w:r>
        <w:rPr>
          <w:rFonts w:eastAsiaTheme="minorEastAsia"/>
        </w:rPr>
        <w:t xml:space="preserve">тью мероприятий объектов аналогов в укрупненном размере.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ajorEastAsia"/>
          <w:bCs/>
        </w:rPr>
      </w:pPr>
      <w:r>
        <w:rPr>
          <w:rFonts w:eastAsiaTheme="minorEastAsia"/>
        </w:rPr>
        <w:t xml:space="preserve">Далее будет рассмотрен вопрос о выборе варианта перспективного развития, обоснование капиталовложений и сроков реализации.</w:t>
      </w:r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86" w:name="_Toc149055616"/>
      <w:r>
        <w:rPr>
          <w:rFonts w:eastAsiaTheme="majorEastAsia"/>
          <w:bCs/>
        </w:rPr>
        <w:t xml:space="preserve">5.3. Обоснование выбора приоритетного варианта перспективного развития систем теплоснабжения Тайшетского муниципального образования «Тайшетское городское поселение» на основе анализа ценовых (тарифных) последствий для потребителей</w:t>
      </w:r>
      <w:bookmarkEnd w:id="86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 рассмотренных вариантах перспек</w:t>
      </w:r>
      <w:r>
        <w:rPr>
          <w:rFonts w:eastAsiaTheme="minorEastAsia"/>
          <w:shd w:val="clear" w:color="auto" w:fill="ffffff"/>
        </w:rPr>
        <w:t xml:space="preserve">тивного развития систем теплоснабжения Тайшетского городского поселения объемы капитальных вложений при первом варианте перспективного развития более чем в 1,1 раза ниже объема капитальных вложений второго варианта перспективного развития, объем выработанн</w:t>
      </w:r>
      <w:r>
        <w:rPr>
          <w:rFonts w:eastAsiaTheme="minorEastAsia"/>
          <w:shd w:val="clear" w:color="auto" w:fill="ffffff"/>
        </w:rPr>
        <w:t xml:space="preserve">ой тепловой энергии муниципальными котельными при первом варианте перспективного развития совпадает с объемом выработанной тепловой энергии муниципальными котельными при втором варианте перспективного развития, количество потребителей тепловой энергии при </w:t>
      </w:r>
      <w:r>
        <w:rPr>
          <w:rFonts w:eastAsiaTheme="minorEastAsia"/>
          <w:shd w:val="clear" w:color="auto" w:fill="ffffff"/>
        </w:rPr>
        <w:t xml:space="preserve">первом варианте перспективного развития совпадет с количеством потребителей тепловой энергии при втором варианте перспективного развития, у</w:t>
      </w:r>
      <w:r>
        <w:rPr>
          <w:rFonts w:eastAsiaTheme="minorEastAsia"/>
          <w:shd w:val="clear" w:color="auto" w:fill="ffffff"/>
        </w:rPr>
        <w:t xml:space="preserve">ровень сокращения потерь при передаче тепловой энергии при первом варианте перспективного развития и втором варианте перспективного развития отсутствует. Сроки проведения мероприятий во втором варианте превышают первый, из-за гораздо большего объема работ.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 соответствии с данными техник</w:t>
      </w:r>
      <w:r>
        <w:rPr>
          <w:rFonts w:eastAsiaTheme="minorEastAsia"/>
          <w:shd w:val="clear" w:color="auto" w:fill="ffffff"/>
        </w:rPr>
        <w:t xml:space="preserve">о-экономического сравнения вариантов перспективного развития систем теплоснабжения Тайшетского городского поселения, приоритетным вариантом перспективного развития систем теплоснабжения является первый вариант перспективного развития систем теплоснабжения.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Реализация выбранного варианта приоритетного развития систем теплоснабжения Тайшетского городского поселения позволит повысить эффективность и уровень надежности функционирования систе</w:t>
      </w:r>
      <w:r>
        <w:rPr>
          <w:rFonts w:eastAsiaTheme="minorEastAsia"/>
          <w:shd w:val="clear" w:color="auto" w:fill="ffffff"/>
        </w:rPr>
        <w:t xml:space="preserve">м теплоснабжения муниципального образования, снизить потери тепловой энергии при передаче тепловой энергии потребителям муниципального образования, оптимизировать финансовые затраты на производство тепловой энергии на территории муниципального образования.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rFonts w:eastAsiaTheme="majorEastAsia"/>
          <w:bCs/>
          <w:caps/>
          <w:szCs w:val="26"/>
        </w:rPr>
      </w:pPr>
      <w:r>
        <w:rPr>
          <w:rFonts w:eastAsiaTheme="majorEastAsia"/>
          <w:bCs/>
          <w:caps/>
          <w:szCs w:val="26"/>
        </w:rPr>
        <w:t xml:space="preserve">ГЛАВА 6.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ПОТРЕБИТЕЛЕЙ, В ТОМ ЧИСЛЕ В АВАРИЙНЫХ РЕЖИМАХ</w:t>
      </w: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rFonts w:eastAsiaTheme="majorEastAsia"/>
          <w:bCs/>
          <w:caps/>
          <w:szCs w:val="26"/>
        </w:rPr>
      </w:pP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соответствии со </w:t>
      </w:r>
      <w:r>
        <w:rPr>
          <w:rFonts w:eastAsiaTheme="minorEastAsia"/>
        </w:rPr>
        <w:t xml:space="preserve">СП 124.13330.2012 «Тепловые сети. Актуализированная редакция СНиП 41-02-2003»</w:t>
      </w:r>
      <w:r>
        <w:rPr>
          <w:rFonts w:eastAsiaTheme="minorHAnsi"/>
          <w:lang w:eastAsia="en-US"/>
        </w:rPr>
        <w:t xml:space="preserve">, водоподготовительная установка для подпитки системы теплоснабжения на источнике тепловой энергии обеспечивает подачу в тепловые сети источника тепловой энергии в рабочем режиме сетевую воду соответствующего качества и аварийную подпитку </w:t>
      </w:r>
      <w:r>
        <w:rPr>
          <w:rFonts w:eastAsiaTheme="minorHAnsi"/>
          <w:lang w:eastAsia="en-US"/>
        </w:rPr>
        <w:t xml:space="preserve">водой и</w:t>
      </w:r>
      <w:r>
        <w:rPr>
          <w:rFonts w:eastAsiaTheme="minorHAnsi"/>
          <w:lang w:eastAsia="en-US"/>
        </w:rPr>
        <w:t xml:space="preserve">з систем хозяйственно-питьевого или производственного водопроводов. Принцип работы водоподготовительной установки: расход подпиточной воды в рабочем режиме компенсируется расчетными потерями сетевой воды в системе теплоснабжения источника тепловой энергии.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 котельной № 1 </w:t>
      </w:r>
      <w:r>
        <w:rPr>
          <w:rFonts w:eastAsiaTheme="minorHAnsi"/>
          <w:lang w:eastAsia="en-US"/>
        </w:rPr>
        <w:t xml:space="preserve">(ТКСИ) </w:t>
      </w:r>
      <w:r>
        <w:rPr>
          <w:rFonts w:eastAsiaTheme="minorEastAsia"/>
          <w:shd w:val="clear" w:color="auto" w:fill="ffffff"/>
        </w:rPr>
        <w:t xml:space="preserve">установлена водоподготовительная установка –</w:t>
      </w:r>
      <w:r>
        <w:rPr>
          <w:rFonts w:eastAsiaTheme="minorEastAsia"/>
        </w:rPr>
        <w:t xml:space="preserve"> фильтры натрий-катионитные ФИПиА</w:t>
      </w:r>
      <w:r>
        <w:rPr>
          <w:rFonts w:eastAsiaTheme="minorEastAsia"/>
          <w:shd w:val="clear" w:color="auto" w:fill="ffffff"/>
        </w:rPr>
        <w:t xml:space="preserve"> производительностью 430 м</w:t>
      </w:r>
      <w:r>
        <w:rPr>
          <w:rFonts w:eastAsiaTheme="minorEastAsia"/>
          <w:shd w:val="clear" w:color="auto" w:fill="ffffff"/>
          <w:vertAlign w:val="superscript"/>
        </w:rPr>
        <w:t xml:space="preserve">3</w:t>
      </w:r>
      <w:r>
        <w:rPr>
          <w:rFonts w:eastAsiaTheme="minorEastAsia"/>
          <w:shd w:val="clear" w:color="auto" w:fill="ffffff"/>
        </w:rPr>
        <w:t xml:space="preserve">/час (факт </w:t>
      </w:r>
      <w:r>
        <w:rPr>
          <w:rFonts w:eastAsiaTheme="minorEastAsia"/>
          <w:shd w:val="clear" w:color="auto" w:fill="ffffff"/>
        </w:rPr>
        <w:t xml:space="preserve">2024 года 264871 </w:t>
      </w:r>
      <w:r>
        <w:rPr>
          <w:rFonts w:eastAsiaTheme="minorEastAsia"/>
          <w:shd w:val="clear" w:color="auto" w:fill="ffffff"/>
        </w:rPr>
        <w:t xml:space="preserve">м</w:t>
      </w:r>
      <w:r>
        <w:rPr>
          <w:rFonts w:eastAsiaTheme="minorEastAsia"/>
          <w:shd w:val="clear" w:color="auto" w:fill="ffffff"/>
          <w:vertAlign w:val="superscript"/>
        </w:rPr>
        <w:t xml:space="preserve">3</w:t>
      </w:r>
      <w:r>
        <w:rPr>
          <w:rFonts w:eastAsiaTheme="minorEastAsia"/>
          <w:shd w:val="clear" w:color="auto" w:fill="ffffff"/>
        </w:rPr>
        <w:t xml:space="preserve">).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 котельной № 2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EastAsia"/>
        </w:rPr>
        <w:t xml:space="preserve">(ШПЗ)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EastAsia"/>
          <w:shd w:val="clear" w:color="auto" w:fill="ffffff"/>
        </w:rPr>
        <w:t xml:space="preserve">установлена водоподготовительная установка –</w:t>
      </w:r>
      <w:r>
        <w:rPr>
          <w:rFonts w:eastAsiaTheme="minorEastAsia"/>
        </w:rPr>
        <w:t xml:space="preserve"> фильтры натрий-катионитные ФИПиА</w:t>
      </w:r>
      <w:r>
        <w:rPr>
          <w:rFonts w:eastAsiaTheme="minorEastAsia"/>
          <w:shd w:val="clear" w:color="auto" w:fill="ffffff"/>
        </w:rPr>
        <w:t xml:space="preserve"> и </w:t>
      </w:r>
      <w:r>
        <w:rPr>
          <w:rFonts w:eastAsiaTheme="minorEastAsia"/>
        </w:rPr>
        <w:t xml:space="preserve">фильтр механический ФОВ</w:t>
      </w:r>
      <w:r>
        <w:rPr>
          <w:rFonts w:eastAsiaTheme="minorEastAsia"/>
          <w:shd w:val="clear" w:color="auto" w:fill="ffffff"/>
        </w:rPr>
        <w:t xml:space="preserve"> производительностью 290 м</w:t>
      </w:r>
      <w:r>
        <w:rPr>
          <w:rFonts w:eastAsiaTheme="minorEastAsia"/>
          <w:shd w:val="clear" w:color="auto" w:fill="ffffff"/>
          <w:vertAlign w:val="superscript"/>
        </w:rPr>
        <w:t xml:space="preserve">3</w:t>
      </w:r>
      <w:r>
        <w:rPr>
          <w:rFonts w:eastAsiaTheme="minorEastAsia"/>
          <w:shd w:val="clear" w:color="auto" w:fill="ffffff"/>
        </w:rPr>
        <w:t xml:space="preserve">/час (факт </w:t>
      </w:r>
      <w:r>
        <w:rPr>
          <w:rFonts w:eastAsiaTheme="minorEastAsia"/>
          <w:shd w:val="clear" w:color="auto" w:fill="ffffff"/>
        </w:rPr>
        <w:t xml:space="preserve">2024 года 309400 </w:t>
      </w:r>
      <w:r>
        <w:rPr>
          <w:rFonts w:eastAsiaTheme="minorEastAsia"/>
          <w:shd w:val="clear" w:color="auto" w:fill="ffffff"/>
        </w:rPr>
        <w:t xml:space="preserve">м</w:t>
      </w:r>
      <w:r>
        <w:rPr>
          <w:rFonts w:eastAsiaTheme="minorEastAsia"/>
          <w:shd w:val="clear" w:color="auto" w:fill="ffffff"/>
          <w:vertAlign w:val="superscript"/>
        </w:rPr>
        <w:t xml:space="preserve">3</w:t>
      </w:r>
      <w:r>
        <w:rPr>
          <w:rFonts w:eastAsiaTheme="minorEastAsia"/>
          <w:shd w:val="clear" w:color="auto" w:fill="ffffff"/>
        </w:rPr>
        <w:t xml:space="preserve">).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 котельной № 3 </w:t>
      </w:r>
      <w:r>
        <w:rPr>
          <w:rFonts w:eastAsiaTheme="minorEastAsia"/>
        </w:rPr>
        <w:t xml:space="preserve">(Мелькомбинат)</w:t>
      </w:r>
      <w:r>
        <w:rPr>
          <w:rFonts w:eastAsiaTheme="minorEastAsia"/>
          <w:shd w:val="clear" w:color="auto" w:fill="ffffff"/>
        </w:rPr>
        <w:t xml:space="preserve"> установлена водоподготовительная установка –</w:t>
      </w:r>
      <w:r>
        <w:rPr>
          <w:rFonts w:eastAsiaTheme="minorEastAsia"/>
        </w:rPr>
        <w:t xml:space="preserve"> фильтры натрий-катионитные ФИПиА</w:t>
      </w:r>
      <w:r>
        <w:rPr>
          <w:rFonts w:eastAsiaTheme="minorEastAsia"/>
          <w:shd w:val="clear" w:color="auto" w:fill="ffffff"/>
        </w:rPr>
        <w:t xml:space="preserve"> производительностью 80 м</w:t>
      </w:r>
      <w:r>
        <w:rPr>
          <w:rFonts w:eastAsiaTheme="minorEastAsia"/>
          <w:shd w:val="clear" w:color="auto" w:fill="ffffff"/>
          <w:vertAlign w:val="superscript"/>
        </w:rPr>
        <w:t xml:space="preserve">3</w:t>
      </w:r>
      <w:r>
        <w:rPr>
          <w:rFonts w:eastAsiaTheme="minorEastAsia"/>
          <w:shd w:val="clear" w:color="auto" w:fill="ffffff"/>
        </w:rPr>
        <w:t xml:space="preserve">/час (факт </w:t>
      </w:r>
      <w:r>
        <w:rPr>
          <w:rFonts w:eastAsiaTheme="minorEastAsia"/>
          <w:shd w:val="clear" w:color="auto" w:fill="ffffff"/>
        </w:rPr>
        <w:t xml:space="preserve">2024 года 54218</w:t>
      </w:r>
      <w:r>
        <w:rPr>
          <w:rFonts w:eastAsiaTheme="minorEastAsia"/>
          <w:shd w:val="clear" w:color="auto" w:fill="ffffff"/>
        </w:rPr>
        <w:t xml:space="preserve"> м</w:t>
      </w:r>
      <w:r>
        <w:rPr>
          <w:rFonts w:eastAsiaTheme="minorEastAsia"/>
          <w:shd w:val="clear" w:color="auto" w:fill="ffffff"/>
          <w:vertAlign w:val="superscript"/>
        </w:rPr>
        <w:t xml:space="preserve">3</w:t>
      </w:r>
      <w:r>
        <w:rPr>
          <w:rFonts w:eastAsiaTheme="minorEastAsia"/>
          <w:shd w:val="clear" w:color="auto" w:fill="ffffff"/>
        </w:rPr>
        <w:t xml:space="preserve">).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 котельной № 4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EastAsia"/>
        </w:rPr>
        <w:t xml:space="preserve">(Экспедиция 5)</w:t>
      </w:r>
      <w:r>
        <w:rPr>
          <w:rFonts w:eastAsiaTheme="minorEastAsia"/>
          <w:shd w:val="clear" w:color="auto" w:fill="ffffff"/>
        </w:rPr>
        <w:t xml:space="preserve"> установлена водоподготовительная установка, в которой происходит очистка воды с помощью дозирования реагента – </w:t>
      </w:r>
      <w:r>
        <w:rPr>
          <w:rFonts w:eastAsiaTheme="minorEastAsia"/>
          <w:spacing w:val="1"/>
          <w:shd w:val="clear" w:color="auto" w:fill="ffffff"/>
        </w:rPr>
        <w:t xml:space="preserve">комплексонат «ОПТИОН-312» фактическая </w:t>
      </w:r>
      <w:r>
        <w:rPr>
          <w:rFonts w:eastAsiaTheme="minorEastAsia"/>
          <w:shd w:val="clear" w:color="auto" w:fill="ffffff"/>
        </w:rPr>
        <w:t xml:space="preserve">производительность за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 составила </w:t>
      </w:r>
      <w:r>
        <w:rPr>
          <w:rFonts w:eastAsiaTheme="minorEastAsia"/>
          <w:shd w:val="clear" w:color="auto" w:fill="ffffff"/>
        </w:rPr>
        <w:t xml:space="preserve">2632</w:t>
      </w:r>
      <w:r>
        <w:rPr>
          <w:rFonts w:eastAsiaTheme="minorEastAsia"/>
          <w:shd w:val="clear" w:color="auto" w:fill="ffffff"/>
        </w:rPr>
        <w:t xml:space="preserve"> м</w:t>
      </w:r>
      <w:r>
        <w:rPr>
          <w:rFonts w:eastAsiaTheme="minorEastAsia"/>
          <w:shd w:val="clear" w:color="auto" w:fill="ffffff"/>
          <w:vertAlign w:val="superscript"/>
        </w:rPr>
        <w:t xml:space="preserve">3</w:t>
      </w:r>
      <w:r>
        <w:rPr>
          <w:rFonts w:eastAsiaTheme="minorEastAsia"/>
          <w:shd w:val="clear" w:color="auto" w:fill="ffffff"/>
        </w:rPr>
        <w:t xml:space="preserve">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 котельной № 5 </w:t>
      </w:r>
      <w:r>
        <w:rPr>
          <w:rFonts w:eastAsiaTheme="minorHAnsi"/>
          <w:lang w:eastAsia="en-US"/>
        </w:rPr>
        <w:t xml:space="preserve">(Совхоз) </w:t>
      </w:r>
      <w:r>
        <w:rPr>
          <w:rFonts w:eastAsiaTheme="minorEastAsia"/>
          <w:shd w:val="clear" w:color="auto" w:fill="ffffff"/>
        </w:rPr>
        <w:t xml:space="preserve">установлена водоподготовительная установка, в которой происходит очистка воды с помощью дозирования реагента – </w:t>
      </w:r>
      <w:r>
        <w:rPr>
          <w:rFonts w:eastAsiaTheme="minorEastAsia"/>
          <w:spacing w:val="1"/>
          <w:shd w:val="clear" w:color="auto" w:fill="ffffff"/>
        </w:rPr>
        <w:t xml:space="preserve">комплексонат «ОПТИОН-312» фактическая </w:t>
      </w:r>
      <w:r>
        <w:rPr>
          <w:rFonts w:eastAsiaTheme="minorEastAsia"/>
          <w:shd w:val="clear" w:color="auto" w:fill="ffffff"/>
        </w:rPr>
        <w:t xml:space="preserve">производительность за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 составила </w:t>
      </w:r>
      <w:r>
        <w:rPr>
          <w:rFonts w:eastAsiaTheme="minorEastAsia"/>
          <w:shd w:val="clear" w:color="auto" w:fill="ffffff"/>
        </w:rPr>
        <w:t xml:space="preserve">2030</w:t>
      </w:r>
      <w:r>
        <w:rPr>
          <w:rFonts w:eastAsiaTheme="minorEastAsia"/>
          <w:shd w:val="clear" w:color="auto" w:fill="ffffff"/>
        </w:rPr>
        <w:t xml:space="preserve"> м</w:t>
      </w:r>
      <w:r>
        <w:rPr>
          <w:rFonts w:eastAsiaTheme="minorEastAsia"/>
          <w:shd w:val="clear" w:color="auto" w:fill="ffffff"/>
          <w:vertAlign w:val="superscript"/>
        </w:rPr>
        <w:t xml:space="preserve">3</w:t>
      </w:r>
      <w:r>
        <w:rPr>
          <w:rFonts w:eastAsiaTheme="minorEastAsia"/>
          <w:shd w:val="clear" w:color="auto" w:fill="ffffff"/>
        </w:rPr>
        <w:t xml:space="preserve">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 электрокотельной </w:t>
      </w:r>
      <w:r>
        <w:rPr>
          <w:rFonts w:eastAsiaTheme="minorEastAsia"/>
        </w:rPr>
        <w:t xml:space="preserve">ДТВ ОАО «РЖД» и электрокотельной ПС-500 </w:t>
      </w:r>
      <w:r>
        <w:rPr>
          <w:rFonts w:eastAsiaTheme="minorEastAsia"/>
          <w:shd w:val="clear" w:color="auto" w:fill="ffffff"/>
        </w:rPr>
        <w:t xml:space="preserve">водоподготовительные установки по состоянию на отчетный (базовый) 2023 год отсутствуют. Монтаж водоподготовительных установок в муниципальные электрокотельные на перспективу до 2041 года не прогнозируется.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Расчетные потери сетевой воды в системе теплоснабжения источника тепловой энергии включают расчетные технологические потери сетевой воды, потери сетевой воды с нормативной утечкой из тепловых сетей и систем теплопотребления.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Системы теплоснабжения муниципальных котельных Тайшетского городского поселения являются закрытыми системами теплоснабжения. Сезонная норма утечки </w:t>
      </w:r>
      <w:r>
        <w:rPr>
          <w:rFonts w:eastAsiaTheme="minorHAnsi"/>
          <w:lang w:eastAsia="en-US"/>
        </w:rPr>
        <w:t xml:space="preserve">теплоносителя из тепловых сетей муниципальных котельных устанавливается в пределах среднегодового значения.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соответствии со </w:t>
      </w:r>
      <w:r>
        <w:rPr>
          <w:rFonts w:eastAsiaTheme="minorEastAsia"/>
        </w:rPr>
        <w:t xml:space="preserve">СП 124.13330.2012 «Тепловые сети. Актуализированная редакция СНиП 41-02-2003»</w:t>
      </w:r>
      <w:r>
        <w:rPr>
          <w:rFonts w:eastAsiaTheme="minorHAnsi"/>
          <w:lang w:eastAsia="en-US"/>
        </w:rPr>
        <w:t xml:space="preserve">, </w:t>
      </w:r>
      <w:r>
        <w:rPr>
          <w:rFonts w:eastAsiaTheme="minorHAnsi"/>
          <w:lang w:eastAsia="en-US"/>
        </w:rPr>
        <w:t xml:space="preserve">расчетный расход среднегодовой утечки сетевой воды для подпитки тепловых сетей источника тепловой энергии принимается равным 0,25% фактического объема сетевой воды в трубопроводах тепловых сетей, присоединенных к ним системах отопления и вентиляции зданий.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Система теплоснабжения котельной №1 </w:t>
      </w:r>
      <w:r>
        <w:rPr>
          <w:rFonts w:eastAsiaTheme="minorHAnsi"/>
          <w:lang w:eastAsia="en-US"/>
        </w:rPr>
        <w:t xml:space="preserve">(ТКСИ) </w:t>
      </w:r>
      <w:r>
        <w:rPr>
          <w:rFonts w:eastAsiaTheme="minorEastAsia"/>
          <w:shd w:val="clear" w:color="auto" w:fill="ffffff"/>
        </w:rPr>
        <w:t xml:space="preserve">является открытой системой теплоснабжения. Оставшиеся котельные имеют закрытые системы. </w:t>
      </w:r>
      <w:r>
        <w:rPr>
          <w:rFonts w:eastAsiaTheme="minorHAnsi"/>
          <w:lang w:eastAsia="en-US"/>
        </w:rPr>
        <w:t xml:space="preserve">Сезонная норма утечки теплоносителя из тепловых сетей муниципальных котельных устанавливается в пределах среднегодового значения.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тепловых сетях муниципальных 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осуществляется расход теплоносителя на горячее водоснабжение потребителей, подключенных к муниципальным котельным.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87" w:name="_Toc149055617"/>
      <w:r>
        <w:rPr>
          <w:rFonts w:eastAsiaTheme="majorEastAsia"/>
          <w:bCs/>
        </w:rPr>
        <w:t xml:space="preserve">6.1. Расчетная величина нормативных потерь теплоносителя в тепловых сетях в зонах действия источников тепловой энергии</w:t>
      </w:r>
      <w:bookmarkEnd w:id="87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rPr>
          <w:rFonts w:eastAsiaTheme="minorEastAsia"/>
        </w:rPr>
      </w:pPr>
      <w:r>
        <w:rPr>
          <w:rFonts w:eastAsiaTheme="minorEastAsia"/>
        </w:rPr>
        <w:t xml:space="preserve">Существующая и перспективная расчетная величина нормативных потерь теплоносителя в тепловых сетях в зонах действия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</w:rPr>
        <w:t xml:space="preserve"> представлена в Таблице 40.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right"/>
        <w:rPr>
          <w:rFonts w:eastAsiaTheme="minorEastAsia"/>
        </w:rPr>
      </w:pPr>
      <w:r>
        <w:rPr>
          <w:rFonts w:eastAsiaTheme="minorEastAsia"/>
        </w:rPr>
        <w:t xml:space="preserve">Таблица 40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rPr>
          <w:rFonts w:eastAsiaTheme="minorEastAsia"/>
        </w:rPr>
      </w:pPr>
      <w:r>
        <w:rPr>
          <w:rFonts w:eastAsiaTheme="minorEastAsia"/>
        </w:rPr>
        <w:t xml:space="preserve">Существующая и перспективная расчетная величина нормативных потерь теплоносителя 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rPr>
          <w:rFonts w:eastAsiaTheme="minorEastAsia"/>
        </w:rPr>
      </w:pPr>
      <w:r>
        <w:rPr>
          <w:rFonts w:eastAsiaTheme="minorEastAsia"/>
        </w:rPr>
        <w:t xml:space="preserve">в тепловых сетях в зонах действия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</w:rPr>
      </w:r>
      <w:r>
        <w:rPr>
          <w:rFonts w:eastAsiaTheme="minorEastAsia"/>
        </w:rPr>
      </w:r>
    </w:p>
    <w:tbl>
      <w:tblPr>
        <w:tblW w:w="10240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1844"/>
        <w:gridCol w:w="851"/>
        <w:gridCol w:w="850"/>
        <w:gridCol w:w="850"/>
        <w:gridCol w:w="851"/>
        <w:gridCol w:w="850"/>
        <w:gridCol w:w="851"/>
        <w:gridCol w:w="850"/>
        <w:gridCol w:w="851"/>
        <w:gridCol w:w="851"/>
        <w:gridCol w:w="712"/>
        <w:gridCol w:w="17"/>
        <w:gridCol w:w="12"/>
      </w:tblGrid>
      <w:tr>
        <w:tblPrEx/>
        <w:trPr>
          <w:trHeight w:val="412"/>
        </w:trPr>
        <w:tc>
          <w:tcPr>
            <w:tcW w:w="1844" w:type="dxa"/>
            <w:vAlign w:val="center"/>
            <w:vMerge w:val="restart"/>
            <w:textDirection w:val="lrTb"/>
            <w:noWrap w:val="false"/>
          </w:tcPr>
          <w:p>
            <w:pPr>
              <w:ind w:right="-108"/>
              <w:jc w:val="center"/>
              <w:widowControl w:val="off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Наименование муниципальной котельной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12"/>
            <w:tcW w:w="839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Расчетная величина нормативных потерь теплоносителя в тепловых сетях в зонах действия котельной, м</w:t>
            </w:r>
            <w:r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 xml:space="preserve">3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/час 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gridAfter w:val="1"/>
          <w:trHeight w:val="412"/>
        </w:trPr>
        <w:tc>
          <w:tcPr>
            <w:tcW w:w="184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tcW w:w="170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Базовая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9"/>
            <w:tcW w:w="668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Перспективная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gridAfter w:val="2"/>
          <w:trHeight w:val="412"/>
        </w:trPr>
        <w:tc>
          <w:tcPr>
            <w:tcW w:w="184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2022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2023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2024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2025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2026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2027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2028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ind w:left="-15" w:right="-111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2029-2033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2034-2038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712" w:type="dxa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2039-2041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gridAfter w:val="2"/>
          <w:trHeight w:val="70"/>
        </w:trPr>
        <w:tc>
          <w:tcPr>
            <w:tcW w:w="1844" w:type="dxa"/>
            <w:vAlign w:val="center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№1(ТКСИ)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5,99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1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2"/>
          <w:trHeight w:val="70"/>
        </w:trPr>
        <w:tc>
          <w:tcPr>
            <w:tcW w:w="1844" w:type="dxa"/>
            <w:vAlign w:val="center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№2 (ШПЗ)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4,03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4,08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4,03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4,19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4,20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1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2"/>
          <w:trHeight w:val="70"/>
        </w:trPr>
        <w:tc>
          <w:tcPr>
            <w:tcW w:w="1844" w:type="dxa"/>
            <w:vAlign w:val="center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№3 (Мелькомбинат)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1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2"/>
          <w:trHeight w:val="70"/>
        </w:trPr>
        <w:tc>
          <w:tcPr>
            <w:tcW w:w="1844" w:type="dxa"/>
            <w:vAlign w:val="center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№4 (Экспедиция №5)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1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2"/>
          <w:trHeight w:val="70"/>
        </w:trPr>
        <w:tc>
          <w:tcPr>
            <w:tcW w:w="1844" w:type="dxa"/>
            <w:vAlign w:val="center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 5 (Совхоз)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1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2"/>
          <w:trHeight w:val="70"/>
        </w:trPr>
        <w:tc>
          <w:tcPr>
            <w:tcW w:w="1844" w:type="dxa"/>
            <w:vAlign w:val="center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Электрокотельная ДТВ ОАО «РЖД»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1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2"/>
          <w:trHeight w:val="70"/>
        </w:trPr>
        <w:tc>
          <w:tcPr>
            <w:tcW w:w="1844" w:type="dxa"/>
            <w:vAlign w:val="center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Электрокотельная ПС-500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1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2"/>
          <w:trHeight w:val="70"/>
        </w:trPr>
        <w:tc>
          <w:tcPr>
            <w:tcW w:w="1844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Итого по муниципальному образованию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10,65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10,52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10,92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12,17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12,63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14,80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16,63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18,21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18,21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1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18,21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88" w:name="_Toc149055618"/>
      <w:r>
        <w:rPr>
          <w:rFonts w:eastAsiaTheme="majorEastAsia"/>
          <w:bCs/>
        </w:rPr>
        <w:t xml:space="preserve">6.2. Максимальный и среднечасовой расход теплоносителя (расход сетевой воды) на горячее водоснабжение потребителей с использованием открытой системы теплоснабжения в зоне действия </w:t>
      </w:r>
      <w:r>
        <w:rPr>
          <w:rFonts w:eastAsiaTheme="majorEastAsia"/>
          <w:bCs/>
        </w:rPr>
        <w:t xml:space="preserve">каждого источника тепловой энергии, рассчитываемый с учетом прогнозных сроков перевода потребителей, подключенных к открытой системе теплоснабжения (горячего водоснабжения), на закрытую систему горячего водоснабжения</w:t>
      </w:r>
      <w:bookmarkEnd w:id="88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Системы теплоснабжения </w:t>
      </w:r>
      <w:r>
        <w:rPr>
          <w:rFonts w:eastAsiaTheme="minorHAnsi"/>
          <w:lang w:eastAsia="en-US"/>
        </w:rPr>
        <w:t xml:space="preserve">муниципальных котельных Тайшетского городского поселения</w:t>
      </w:r>
      <w:r>
        <w:rPr>
          <w:rFonts w:eastAsiaTheme="minorEastAsia"/>
        </w:rPr>
        <w:t xml:space="preserve"> по состоянию на отчетный (базовый)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 являются закрытыми системами теплоснабжения, кроме котельной №1 – система открытая.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Максимальный и среднечасовой расход теплоносителя (расход сетевой воды) на горячее водоснабжение потребителей с использованием открытых систем теплоснабжения в зонах действия </w:t>
      </w:r>
      <w:r>
        <w:rPr>
          <w:rFonts w:eastAsiaTheme="minorHAnsi"/>
          <w:lang w:eastAsia="en-US"/>
        </w:rPr>
        <w:t xml:space="preserve">муниципальных котельных Тайшетского городского поселения</w:t>
      </w:r>
      <w:r>
        <w:rPr>
          <w:rFonts w:eastAsiaTheme="minorEastAsia"/>
        </w:rPr>
        <w:t xml:space="preserve"> представлен в Таблице 41.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right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Таблица 41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EastAsia"/>
        </w:rPr>
        <w:t xml:space="preserve">Максимальный и среднечасовой расход теплоносителя (расход сетевой воды) на горячее водоснабжение потребителей с использованием открытых систем теплоснабжения</w:t>
      </w:r>
      <w:r>
        <w:rPr>
          <w:rFonts w:eastAsiaTheme="minorEastAsia"/>
        </w:rPr>
        <w:t xml:space="preserve"> в зонах действия </w:t>
      </w:r>
      <w:r>
        <w:rPr>
          <w:rFonts w:eastAsiaTheme="minorHAnsi"/>
          <w:lang w:eastAsia="en-US"/>
        </w:rPr>
        <w:t xml:space="preserve">муниципальных котельных Тайшетского городского поселения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tbl>
      <w:tblPr>
        <w:tblW w:w="4889" w:type="pct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1893"/>
        <w:gridCol w:w="1434"/>
        <w:gridCol w:w="994"/>
        <w:gridCol w:w="7"/>
        <w:gridCol w:w="857"/>
        <w:gridCol w:w="1110"/>
        <w:gridCol w:w="799"/>
        <w:gridCol w:w="799"/>
        <w:gridCol w:w="799"/>
        <w:gridCol w:w="666"/>
      </w:tblGrid>
      <w:tr>
        <w:tblPrEx/>
        <w:trPr>
          <w:trHeight w:val="412"/>
        </w:trPr>
        <w:tc>
          <w:tcPr>
            <w:tcW w:w="1011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Расход теплоносителя (расход сетевой воды) на горячее водоснабжение потребителей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9"/>
            <w:tcW w:w="3989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Максимальный и среднечасовой расход теплоносителя (расход сетевой воды) на горячее водоснабжение потребителей с использованием открытой системы теплоснабжения в зоне действия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муниципальной котельной,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м</w:t>
            </w:r>
            <w:r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 xml:space="preserve">3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/час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130"/>
        </w:trPr>
        <w:tc>
          <w:tcPr>
            <w:tcW w:w="1011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tcW w:w="1297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Базовый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tcW w:w="2692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Перспективный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89"/>
        </w:trPr>
        <w:tc>
          <w:tcPr>
            <w:tcW w:w="1011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2021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tcW w:w="53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2022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8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2023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593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2024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7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2025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7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2026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7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2027-2040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2041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70"/>
        </w:trPr>
        <w:tc>
          <w:tcPr>
            <w:gridSpan w:val="10"/>
            <w:tcW w:w="5000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№1 (ТКСИ)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70"/>
        </w:trPr>
        <w:tc>
          <w:tcPr>
            <w:tcW w:w="1011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Максимальный, м</w:t>
            </w:r>
            <w:r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 xml:space="preserve">3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/час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18,78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tcW w:w="53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18,78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8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18,78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593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18,78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7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18,78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7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18,78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7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18,78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6" w:type="pct"/>
            <w:vAlign w:val="center"/>
            <w:textDirection w:val="lrTb"/>
            <w:noWrap w:val="false"/>
          </w:tcPr>
          <w:p>
            <w:pPr>
              <w:ind w:left="-153"/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18,78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70"/>
        </w:trPr>
        <w:tc>
          <w:tcPr>
            <w:tcW w:w="1011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Среднечасовой, м</w:t>
            </w:r>
            <w:r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 xml:space="preserve">3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/час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66" w:type="pc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12,02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tcW w:w="535" w:type="pc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12,02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8" w:type="pc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12,02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593" w:type="pc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12,02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7" w:type="pc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12,02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7" w:type="pc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12,02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7" w:type="pc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12,02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6" w:type="pct"/>
            <w:textDirection w:val="lrTb"/>
            <w:noWrap w:val="false"/>
          </w:tcPr>
          <w:p>
            <w:pPr>
              <w:ind w:left="-153"/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12,02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70"/>
        </w:trPr>
        <w:tc>
          <w:tcPr>
            <w:gridSpan w:val="10"/>
            <w:tcW w:w="5000" w:type="pct"/>
            <w:vAlign w:val="center"/>
            <w:textDirection w:val="lrTb"/>
            <w:noWrap w:val="false"/>
          </w:tcPr>
          <w:p>
            <w:pPr>
              <w:ind w:left="-153"/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Итого по муниципальному образованию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70"/>
        </w:trPr>
        <w:tc>
          <w:tcPr>
            <w:tcW w:w="1011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Максимальный, м</w:t>
            </w:r>
            <w:r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 xml:space="preserve">3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/час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66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18,78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tcW w:w="535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18,78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8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18,78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593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18,78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7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18,78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7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18,78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7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18,78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6" w:type="pct"/>
            <w:vAlign w:val="center"/>
            <w:textDirection w:val="lrTb"/>
            <w:noWrap w:val="false"/>
          </w:tcPr>
          <w:p>
            <w:pPr>
              <w:ind w:left="-153"/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18,78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70"/>
        </w:trPr>
        <w:tc>
          <w:tcPr>
            <w:tcW w:w="1011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Среднечасовой, м</w:t>
            </w:r>
            <w:r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 xml:space="preserve">3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/час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66" w:type="pc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12,02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2"/>
            <w:tcW w:w="535" w:type="pc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12,02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58" w:type="pc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12,02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593" w:type="pc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12,02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7" w:type="pc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12,02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7" w:type="pc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12,02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427" w:type="pc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12,02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356" w:type="pct"/>
            <w:textDirection w:val="lrTb"/>
            <w:noWrap w:val="false"/>
          </w:tcPr>
          <w:p>
            <w:pPr>
              <w:ind w:left="-153"/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12,02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</w:tbl>
    <w:p>
      <w:pPr>
        <w:ind w:firstLine="709"/>
        <w:jc w:val="both"/>
        <w:widowControl w:val="off"/>
        <w:rPr>
          <w:rFonts w:eastAsiaTheme="minorEastAsia"/>
        </w:rPr>
      </w:pPr>
      <w:r>
        <w:rPr>
          <w:rFonts w:eastAsiaTheme="minorEastAsia"/>
          <w:highlight w:val="none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rPr>
          <w:rFonts w:eastAsiaTheme="minorEastAsia"/>
          <w:highlight w:val="none"/>
        </w:rPr>
      </w:pPr>
      <w:r>
        <w:rPr>
          <w:rFonts w:eastAsiaTheme="minorEastAsia"/>
        </w:rPr>
        <w:t xml:space="preserve">Внесенными изменениями в генеральный план Тайшетского городского поселения предлагается выполнить перевод существующих открытых систем теплоснабжения (горячего водоснабжения) в закрытые системы горячего водоснабжения, для осуществления которого </w:t>
      </w:r>
      <w:r>
        <w:rPr>
          <w:rFonts w:eastAsiaTheme="minorEastAsia"/>
        </w:rPr>
        <w:t xml:space="preserve">необходимо строительство индивидуальных тепловых пунктов при наличии у потребителей внутридомовых систем горячего водоснабжения.</w:t>
      </w:r>
      <w:r>
        <w:rPr>
          <w:rFonts w:eastAsiaTheme="minorEastAsia"/>
          <w:highlight w:val="none"/>
        </w:rPr>
      </w:r>
      <w:r>
        <w:rPr>
          <w:rFonts w:eastAsiaTheme="minorEastAsia"/>
          <w:highlight w:val="none"/>
        </w:rPr>
      </w:r>
    </w:p>
    <w:p>
      <w:pPr>
        <w:ind w:firstLine="709"/>
        <w:jc w:val="both"/>
        <w:widowControl w:val="off"/>
        <w:rPr>
          <w:rFonts w:eastAsiaTheme="minorEastAsia"/>
        </w:rPr>
      </w:pPr>
      <w:r>
        <w:rPr>
          <w:rFonts w:eastAsiaTheme="minorEastAsia"/>
        </w:rPr>
        <w:t xml:space="preserve">В настоящее время подключение систем горячего водоснабжения потребителей по отрытой схеме имеется в зонах теплоснабжения котельной №1 (ТКСИ). Всего по открытой схеме подключены </w:t>
      </w:r>
      <w:r>
        <w:rPr>
          <w:rFonts w:eastAsiaTheme="minorEastAsia"/>
        </w:rPr>
        <w:t xml:space="preserve">50</w:t>
      </w:r>
      <w:r>
        <w:rPr>
          <w:rFonts w:eastAsiaTheme="minorEastAsia"/>
        </w:rPr>
        <w:t xml:space="preserve"> многоквартирный дом</w:t>
      </w:r>
      <w:r>
        <w:rPr>
          <w:rFonts w:eastAsiaTheme="minorEastAsia"/>
        </w:rPr>
        <w:t xml:space="preserve">ов</w:t>
      </w:r>
      <w:r>
        <w:rPr>
          <w:rFonts w:eastAsiaTheme="minorEastAsia"/>
        </w:rPr>
        <w:t xml:space="preserve">, </w:t>
      </w:r>
      <w:r>
        <w:rPr>
          <w:rFonts w:eastAsiaTheme="minorEastAsia"/>
        </w:rPr>
        <w:t xml:space="preserve">четыре</w:t>
      </w:r>
      <w:r>
        <w:rPr>
          <w:rFonts w:eastAsiaTheme="minorEastAsia"/>
        </w:rPr>
        <w:t xml:space="preserve"> детски</w:t>
      </w:r>
      <w:r>
        <w:rPr>
          <w:rFonts w:eastAsiaTheme="minorEastAsia"/>
        </w:rPr>
        <w:t xml:space="preserve">х</w:t>
      </w:r>
      <w:r>
        <w:rPr>
          <w:rFonts w:eastAsiaTheme="minorEastAsia"/>
        </w:rPr>
        <w:t xml:space="preserve"> садик</w:t>
      </w:r>
      <w:r>
        <w:rPr>
          <w:rFonts w:eastAsiaTheme="minorEastAsia"/>
        </w:rPr>
        <w:t xml:space="preserve">а</w:t>
      </w:r>
      <w:r>
        <w:rPr>
          <w:rFonts w:eastAsiaTheme="minorEastAsia"/>
        </w:rPr>
        <w:t xml:space="preserve">, одна общеобразовательная школа, дом культуры, два объекта здравоохранения.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rPr>
          <w:rFonts w:eastAsiaTheme="minorEastAsia"/>
        </w:rPr>
      </w:pPr>
      <w:r>
        <w:rPr>
          <w:rFonts w:eastAsiaTheme="minorEastAsia"/>
        </w:rPr>
        <w:t xml:space="preserve">В условиях отсутствия на территории Тайшетского городского поселения цент</w:t>
      </w:r>
      <w:r>
        <w:rPr>
          <w:rFonts w:eastAsiaTheme="minorEastAsia"/>
        </w:rPr>
        <w:t xml:space="preserve">ральных тепловых пунктов закрытие систем теплоснабжения представляется целесообразным путем модернизации внутридомового инженерного оборудования. В первую очередь это связано с реализацией технических мероприятий на внутридомовых системах теплопотребления.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rPr>
          <w:rFonts w:asciiTheme="minorHAnsi" w:hAnsiTheme="minorHAnsi" w:eastAsiaTheme="minorHAnsi" w:cstheme="minorBidi"/>
          <w:sz w:val="22"/>
          <w:szCs w:val="22"/>
          <w:lang w:eastAsia="en-US"/>
        </w:rPr>
      </w:pPr>
      <w:r>
        <w:rPr>
          <w:rFonts w:eastAsiaTheme="minorEastAsia"/>
        </w:rPr>
        <w:t xml:space="preserve">Учитывая то, что с 1 января 2022 года вступил в силу Федеральный закон Российской Федерации от 30 декабря 2021 года №438-ФЗ «О внесении изменений в Федеральный закон «О теплоснабжении», которым </w:t>
      </w:r>
      <w:r>
        <w:t xml:space="preserve">с 1 января 2022 года </w:t>
      </w:r>
      <w:r>
        <w:rPr>
          <w:rFonts w:eastAsiaTheme="minorHAnsi"/>
          <w:lang w:eastAsia="en-US"/>
        </w:rPr>
        <w:t xml:space="preserve">отменяется обязательное переоборудование открытых систем горячего водоснабжения в закрытые, </w:t>
      </w:r>
      <w:r>
        <w:rPr>
          <w:rFonts w:eastAsiaTheme="minorEastAsia"/>
        </w:rPr>
        <w:t xml:space="preserve">решения по возможному переходу на закрытую систему теплоснабжения (горячего водоснабжения) для потребителей города Тайшет подлежат разработке и</w:t>
      </w:r>
      <w:r>
        <w:rPr>
          <w:rFonts w:eastAsiaTheme="minorEastAsia"/>
        </w:rPr>
        <w:t xml:space="preserve"> оценке, возможно при выполнении следующих актуализаций схемы теплоснабжения.</w:t>
      </w:r>
      <w:r>
        <w:rPr>
          <w:rFonts w:asciiTheme="minorHAnsi" w:hAnsiTheme="minorHAnsi" w:eastAsiaTheme="minorHAnsi" w:cstheme="minorBidi"/>
          <w:sz w:val="22"/>
          <w:szCs w:val="22"/>
          <w:lang w:eastAsia="en-US"/>
        </w:rPr>
      </w:r>
      <w:r>
        <w:rPr>
          <w:rFonts w:asciiTheme="minorHAnsi" w:hAnsiTheme="minorHAnsi" w:eastAsiaTheme="minorHAnsi" w:cstheme="minorBidi"/>
          <w:sz w:val="22"/>
          <w:szCs w:val="22"/>
          <w:lang w:eastAsia="en-US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89" w:name="_Toc149055619"/>
      <w:r>
        <w:rPr>
          <w:rFonts w:eastAsiaTheme="majorEastAsia"/>
          <w:bCs/>
        </w:rPr>
        <w:t xml:space="preserve">6.3. Сведения о наличии баков-аккумуляторов</w:t>
      </w:r>
      <w:bookmarkEnd w:id="89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HAnsi"/>
          <w:strike/>
          <w:lang w:eastAsia="en-US"/>
        </w:rPr>
      </w:pPr>
      <w:r>
        <w:rPr>
          <w:rFonts w:eastAsiaTheme="minorEastAsia"/>
        </w:rPr>
        <w:t xml:space="preserve">В составе оборудования, установленного в </w:t>
      </w:r>
      <w:r>
        <w:rPr>
          <w:rFonts w:eastAsiaTheme="minorHAnsi"/>
          <w:lang w:eastAsia="en-US"/>
        </w:rPr>
        <w:t xml:space="preserve">муниципальных котельных Тайшетского городского поселения </w:t>
      </w:r>
      <w:r>
        <w:rPr>
          <w:rFonts w:eastAsiaTheme="minorEastAsia"/>
        </w:rPr>
        <w:t xml:space="preserve">№1(ТКСИ), №2 (ШПЗ), №3(Мелькомбинат) есть </w:t>
      </w:r>
      <w:r>
        <w:rPr>
          <w:rFonts w:eastAsiaTheme="minorHAnsi"/>
          <w:lang w:eastAsia="en-US"/>
        </w:rPr>
        <w:t xml:space="preserve">баки-аккумуляторы </w:t>
      </w:r>
      <w:r>
        <w:rPr>
          <w:rFonts w:eastAsiaTheme="minorEastAsia"/>
        </w:rPr>
        <w:t xml:space="preserve">для обеспечения ГВС потребителей в часы пик и компенсации потерь сетевой воды. Баки расположены на открытом воздухе и в помещении.</w:t>
      </w:r>
      <w:r>
        <w:rPr>
          <w:rFonts w:eastAsiaTheme="minorHAnsi"/>
          <w:strike/>
          <w:lang w:eastAsia="en-US"/>
        </w:rPr>
      </w:r>
      <w:r>
        <w:rPr>
          <w:rFonts w:eastAsiaTheme="minorHAnsi"/>
          <w:strike/>
          <w:lang w:eastAsia="en-US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90" w:name="_Toc149055620"/>
      <w:r>
        <w:rPr>
          <w:rFonts w:eastAsiaTheme="majorEastAsia"/>
          <w:bCs/>
        </w:rPr>
        <w:t xml:space="preserve">6.4. Нормативный и фактический (для эксплуатационного и аварийного режимов) часовой расход подпиточной воды в зоне действия источников тепловой энергии</w:t>
      </w:r>
      <w:bookmarkEnd w:id="90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Нормативный и фактический (для эксплуатационного и аварийного режимов) часовой расход подпиточной воды в зонах действия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  <w:shd w:val="clear" w:color="auto" w:fill="ffffff"/>
        </w:rPr>
        <w:t xml:space="preserve"> представлен в Таблице 42.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right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42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Нормативный и фактический (для эксплуатационного и аварийного режимов) часовой расход подпиточной воды в зонах действия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tbl>
      <w:tblPr>
        <w:tblW w:w="4888" w:type="pct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6190"/>
        <w:gridCol w:w="1725"/>
        <w:gridCol w:w="1441"/>
      </w:tblGrid>
      <w:tr>
        <w:tblPrEx/>
        <w:trPr>
          <w:trHeight w:val="20"/>
        </w:trPr>
        <w:tc>
          <w:tcPr>
            <w:shd w:val="clear" w:color="auto" w:fill="auto"/>
            <w:tcW w:w="3308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Наименование параметра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922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Эксплуатационный режим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Аварийный режим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3"/>
            <w:shd w:val="clear" w:color="auto" w:fill="auto"/>
            <w:tcW w:w="500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Котельная №1 (ТКСИ)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3308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Нормативный часовой расход подпиточной воды, м</w:t>
            </w:r>
            <w:r>
              <w:rPr>
                <w:b w:val="0"/>
                <w:sz w:val="22"/>
                <w:szCs w:val="22"/>
                <w:vertAlign w:val="superscript"/>
              </w:rPr>
              <w:t xml:space="preserve">3</w:t>
            </w:r>
            <w:r>
              <w:rPr>
                <w:b w:val="0"/>
                <w:sz w:val="22"/>
                <w:szCs w:val="22"/>
              </w:rPr>
              <w:t xml:space="preserve">/час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922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5,99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47,18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3308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Фактический часовой расход подпиточной воды, м</w:t>
            </w:r>
            <w:r>
              <w:rPr>
                <w:b w:val="0"/>
                <w:sz w:val="22"/>
                <w:szCs w:val="22"/>
                <w:vertAlign w:val="superscript"/>
              </w:rPr>
              <w:t xml:space="preserve">3</w:t>
            </w:r>
            <w:r>
              <w:rPr>
                <w:b w:val="0"/>
                <w:sz w:val="22"/>
                <w:szCs w:val="22"/>
              </w:rPr>
              <w:t xml:space="preserve">/час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922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5,99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47,18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3"/>
            <w:shd w:val="clear" w:color="auto" w:fill="auto"/>
            <w:tcW w:w="500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Котельная № 2 (ШПЗ)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3308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Нормативный часовой расход подпиточной воды, м</w:t>
            </w:r>
            <w:r>
              <w:rPr>
                <w:b w:val="0"/>
                <w:sz w:val="22"/>
                <w:szCs w:val="22"/>
                <w:vertAlign w:val="superscript"/>
              </w:rPr>
              <w:t xml:space="preserve">3</w:t>
            </w:r>
            <w:r>
              <w:rPr>
                <w:b w:val="0"/>
                <w:sz w:val="22"/>
                <w:szCs w:val="22"/>
              </w:rPr>
              <w:t xml:space="preserve">/час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922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4,09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32,19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3308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Фактический часовой расход подпиточной воды, м</w:t>
            </w:r>
            <w:r>
              <w:rPr>
                <w:b w:val="0"/>
                <w:sz w:val="22"/>
                <w:szCs w:val="22"/>
                <w:vertAlign w:val="superscript"/>
              </w:rPr>
              <w:t xml:space="preserve">3</w:t>
            </w:r>
            <w:r>
              <w:rPr>
                <w:b w:val="0"/>
                <w:sz w:val="22"/>
                <w:szCs w:val="22"/>
              </w:rPr>
              <w:t xml:space="preserve">/час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922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4,09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32,19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3"/>
            <w:shd w:val="clear" w:color="auto" w:fill="auto"/>
            <w:tcW w:w="500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Котельная № 3 (Мелькомбинат)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3308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Нормативный часовой расход подпиточной воды, м</w:t>
            </w:r>
            <w:r>
              <w:rPr>
                <w:b w:val="0"/>
                <w:sz w:val="22"/>
                <w:szCs w:val="22"/>
                <w:vertAlign w:val="superscript"/>
              </w:rPr>
              <w:t xml:space="preserve">3</w:t>
            </w:r>
            <w:r>
              <w:rPr>
                <w:b w:val="0"/>
                <w:sz w:val="22"/>
                <w:szCs w:val="22"/>
              </w:rPr>
              <w:t xml:space="preserve">/час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922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0,34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1,88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3308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Фактический часовой расход подпиточной воды, м</w:t>
            </w:r>
            <w:r>
              <w:rPr>
                <w:b w:val="0"/>
                <w:sz w:val="22"/>
                <w:szCs w:val="22"/>
                <w:vertAlign w:val="superscript"/>
              </w:rPr>
              <w:t xml:space="preserve">3</w:t>
            </w:r>
            <w:r>
              <w:rPr>
                <w:b w:val="0"/>
                <w:sz w:val="22"/>
                <w:szCs w:val="22"/>
              </w:rPr>
              <w:t xml:space="preserve">/час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922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0,34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1,88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3"/>
            <w:shd w:val="clear" w:color="auto" w:fill="auto"/>
            <w:tcW w:w="500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Котельная № 4 (Экспедиция 5)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3308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Нормативный часовой расход подпиточной воды, м</w:t>
            </w:r>
            <w:r>
              <w:rPr>
                <w:b w:val="0"/>
                <w:sz w:val="22"/>
                <w:szCs w:val="22"/>
                <w:vertAlign w:val="superscript"/>
              </w:rPr>
              <w:t xml:space="preserve">3</w:t>
            </w:r>
            <w:r>
              <w:rPr>
                <w:b w:val="0"/>
                <w:sz w:val="22"/>
                <w:szCs w:val="22"/>
              </w:rPr>
              <w:t xml:space="preserve">/час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922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0,13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0,73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3308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Фактический часовой расход подпиточной воды, м</w:t>
            </w:r>
            <w:r>
              <w:rPr>
                <w:b w:val="0"/>
                <w:sz w:val="22"/>
                <w:szCs w:val="22"/>
                <w:vertAlign w:val="superscript"/>
              </w:rPr>
              <w:t xml:space="preserve">3</w:t>
            </w:r>
            <w:r>
              <w:rPr>
                <w:b w:val="0"/>
                <w:sz w:val="22"/>
                <w:szCs w:val="22"/>
              </w:rPr>
              <w:t xml:space="preserve">/час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922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0,13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0,73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3"/>
            <w:shd w:val="clear" w:color="auto" w:fill="auto"/>
            <w:tcW w:w="500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Котельная № 5 (Совхоз)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3308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Нормативный часовой расход подпиточной воды, м</w:t>
            </w:r>
            <w:r>
              <w:rPr>
                <w:b w:val="0"/>
                <w:sz w:val="22"/>
                <w:szCs w:val="22"/>
                <w:vertAlign w:val="superscript"/>
              </w:rPr>
              <w:t xml:space="preserve">3</w:t>
            </w:r>
            <w:r>
              <w:rPr>
                <w:b w:val="0"/>
                <w:sz w:val="22"/>
                <w:szCs w:val="22"/>
              </w:rPr>
              <w:t xml:space="preserve">/час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922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0,04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0,25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3308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Фактический часовой расход подпиточной воды, м</w:t>
            </w:r>
            <w:r>
              <w:rPr>
                <w:b w:val="0"/>
                <w:sz w:val="22"/>
                <w:szCs w:val="22"/>
                <w:vertAlign w:val="superscript"/>
              </w:rPr>
              <w:t xml:space="preserve">3</w:t>
            </w:r>
            <w:r>
              <w:rPr>
                <w:b w:val="0"/>
                <w:sz w:val="22"/>
                <w:szCs w:val="22"/>
              </w:rPr>
              <w:t xml:space="preserve">/час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922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0,04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0,25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3"/>
            <w:shd w:val="clear" w:color="auto" w:fill="auto"/>
            <w:tcW w:w="500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Электрокотельная ДТВ ОАО «РЖД»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3308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Нормативный часовой расход подпиточной воды, м</w:t>
            </w:r>
            <w:r>
              <w:rPr>
                <w:b w:val="0"/>
                <w:sz w:val="22"/>
                <w:szCs w:val="22"/>
                <w:vertAlign w:val="superscript"/>
              </w:rPr>
              <w:t xml:space="preserve">3</w:t>
            </w:r>
            <w:r>
              <w:rPr>
                <w:b w:val="0"/>
                <w:sz w:val="22"/>
                <w:szCs w:val="22"/>
              </w:rPr>
              <w:t xml:space="preserve">/час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922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0,04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0,25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3308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Фактический часовой расход подпиточной воды, м</w:t>
            </w:r>
            <w:r>
              <w:rPr>
                <w:b w:val="0"/>
                <w:sz w:val="22"/>
                <w:szCs w:val="22"/>
                <w:vertAlign w:val="superscript"/>
              </w:rPr>
              <w:t xml:space="preserve">3</w:t>
            </w:r>
            <w:r>
              <w:rPr>
                <w:b w:val="0"/>
                <w:sz w:val="22"/>
                <w:szCs w:val="22"/>
              </w:rPr>
              <w:t xml:space="preserve">/час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922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0,04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pct"/>
            <w:vAlign w:val="center"/>
            <w:textDirection w:val="lrTb"/>
            <w:noWrap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0,25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3"/>
            <w:shd w:val="clear" w:color="auto" w:fill="auto"/>
            <w:tcW w:w="500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Электрокотельная ПС-500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3308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Нормативный часовой расход подпиточной воды, м</w:t>
            </w:r>
            <w:r>
              <w:rPr>
                <w:b w:val="0"/>
                <w:sz w:val="22"/>
                <w:szCs w:val="22"/>
                <w:vertAlign w:val="superscript"/>
              </w:rPr>
              <w:t xml:space="preserve">3</w:t>
            </w:r>
            <w:r>
              <w:rPr>
                <w:b w:val="0"/>
                <w:sz w:val="22"/>
                <w:szCs w:val="22"/>
              </w:rPr>
              <w:t xml:space="preserve">/час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922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0,02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0,13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3308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Фактический часовой расход подпиточной воды, м</w:t>
            </w:r>
            <w:r>
              <w:rPr>
                <w:b w:val="0"/>
                <w:sz w:val="22"/>
                <w:szCs w:val="22"/>
                <w:vertAlign w:val="superscript"/>
              </w:rPr>
              <w:t xml:space="preserve">3</w:t>
            </w:r>
            <w:r>
              <w:rPr>
                <w:b w:val="0"/>
                <w:sz w:val="22"/>
                <w:szCs w:val="22"/>
              </w:rPr>
              <w:t xml:space="preserve">/час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922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0,02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0,13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3"/>
            <w:shd w:val="clear" w:color="auto" w:fill="auto"/>
            <w:tcW w:w="500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Итого по муниципальному образованию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3308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Нормативный часовой расход подпиточной воды, м</w:t>
            </w:r>
            <w:r>
              <w:rPr>
                <w:b w:val="0"/>
                <w:sz w:val="22"/>
                <w:szCs w:val="22"/>
                <w:vertAlign w:val="superscript"/>
              </w:rPr>
              <w:t xml:space="preserve">3</w:t>
            </w:r>
            <w:r>
              <w:rPr>
                <w:b w:val="0"/>
                <w:sz w:val="22"/>
                <w:szCs w:val="22"/>
              </w:rPr>
              <w:t xml:space="preserve">/час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922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10,65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82,36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3308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Фактический часовой расход подпиточной воды, м</w:t>
            </w:r>
            <w:r>
              <w:rPr>
                <w:b w:val="0"/>
                <w:sz w:val="22"/>
                <w:szCs w:val="22"/>
                <w:vertAlign w:val="superscript"/>
              </w:rPr>
              <w:t xml:space="preserve">3</w:t>
            </w:r>
            <w:r>
              <w:rPr>
                <w:b w:val="0"/>
                <w:sz w:val="22"/>
                <w:szCs w:val="22"/>
              </w:rPr>
              <w:t xml:space="preserve">/час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922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10,65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pct"/>
            <w:vAlign w:val="center"/>
            <w:textDirection w:val="lrTb"/>
            <w:noWrap w:val="false"/>
          </w:tcPr>
          <w:p>
            <w:pPr>
              <w:pStyle w:val="936"/>
              <w:spacing w:before="0" w:after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82,36</w:t>
            </w: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</w:tr>
    </w:tbl>
    <w:p>
      <w:pPr>
        <w:ind w:firstLine="709"/>
        <w:jc w:val="both"/>
        <w:keepLines/>
        <w:keepNext/>
        <w:widowControl w:val="off"/>
        <w:rPr>
          <w:rFonts w:eastAsiaTheme="majorEastAsia"/>
        </w:rPr>
      </w:pPr>
      <w:r>
        <w:rPr>
          <w:rFonts w:eastAsiaTheme="majorEastAsia"/>
          <w:bCs/>
          <w:highlight w:val="none"/>
          <w:shd w:val="clear" w:color="auto" w:fill="ffffff"/>
        </w:rPr>
      </w:r>
      <w:r>
        <w:rPr>
          <w:rFonts w:eastAsiaTheme="majorEastAsia"/>
        </w:rPr>
      </w:r>
      <w:r>
        <w:rPr>
          <w:rFonts w:eastAsiaTheme="maj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highlight w:val="none"/>
          <w:shd w:val="clear" w:color="auto" w:fill="ffffff"/>
        </w:rPr>
      </w:pPr>
      <w:r/>
      <w:bookmarkStart w:id="91" w:name="_Toc149055621"/>
      <w:r>
        <w:rPr>
          <w:rFonts w:eastAsiaTheme="majorEastAsia"/>
          <w:bCs/>
        </w:rPr>
        <w:t xml:space="preserve">6.5. Существующий и перспективный баланс производительности водоподготовительных установок и потерь теплоносителя с учетом развития системы теплоснабжения</w:t>
      </w:r>
      <w:bookmarkEnd w:id="91"/>
      <w:r>
        <w:rPr>
          <w:rFonts w:eastAsiaTheme="majorEastAsia"/>
          <w:highlight w:val="none"/>
          <w:shd w:val="clear" w:color="auto" w:fill="ffffff"/>
        </w:rPr>
      </w:r>
      <w:r>
        <w:rPr>
          <w:rFonts w:eastAsiaTheme="majorEastAsia"/>
          <w:highlight w:val="none"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 таблице 43 представлена характеристика водоподготовительных установок в котельных Тайшетского городского поселения.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Водоподготовительные установки на электрокотельных </w:t>
      </w:r>
      <w:r>
        <w:rPr>
          <w:bCs/>
        </w:rPr>
        <w:t xml:space="preserve">ДТВ ОАО «РЖД» и ПС-500 отсутствуют.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right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43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center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Характеристика водоподготовительных установок на котельных 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center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Тайшетского городского поселения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tbl>
      <w:tblPr>
        <w:tblStyle w:val="925"/>
        <w:tblW w:w="0" w:type="auto"/>
        <w:tblInd w:w="-34" w:type="dxa"/>
        <w:tblLook w:val="04A0" w:firstRow="1" w:lastRow="0" w:firstColumn="1" w:lastColumn="0" w:noHBand="0" w:noVBand="1"/>
      </w:tblPr>
      <w:tblGrid>
        <w:gridCol w:w="2624"/>
        <w:gridCol w:w="3564"/>
        <w:gridCol w:w="1826"/>
        <w:gridCol w:w="1590"/>
      </w:tblGrid>
      <w:tr>
        <w:tblPrEx/>
        <w:trPr/>
        <w:tc>
          <w:tcPr>
            <w:tcW w:w="269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муниципальной котельной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66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Тип водоподготовительной установки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gridSpan w:val="2"/>
            <w:tcW w:w="325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Производительность водоподготовительной установки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tcW w:w="269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6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69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Установленная,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м</w:t>
            </w:r>
            <w:r>
              <w:rPr>
                <w:rFonts w:ascii="Times New Roman" w:hAnsi="Times New Roman" w:cs="Times New Roman"/>
                <w:shd w:val="clear" w:color="auto" w:fill="ffffff"/>
                <w:vertAlign w:val="superscript"/>
              </w:rPr>
              <w:t xml:space="preserve">3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/ч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55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Фактическая,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м</w:t>
            </w:r>
            <w:r>
              <w:rPr>
                <w:rFonts w:ascii="Times New Roman" w:hAnsi="Times New Roman" w:cs="Times New Roman"/>
                <w:shd w:val="clear" w:color="auto" w:fill="ffffff"/>
                <w:vertAlign w:val="superscript"/>
              </w:rPr>
              <w:t xml:space="preserve">3/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год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</w:tr>
      <w:tr>
        <w:tblPrEx/>
        <w:trPr/>
        <w:tc>
          <w:tcPr>
            <w:tcW w:w="269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Котельная №1 (ТКСИ)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66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Фильтры натрий-катионитные ФИПиА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69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430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55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 w:eastAsiaTheme="minorEastAsia"/>
                <w:shd w:val="clear" w:color="auto" w:fill="ffffff"/>
              </w:rPr>
              <w:t xml:space="preserve">264871</w:t>
            </w:r>
            <w:r>
              <w:rPr>
                <w:rFonts w:ascii="Times New Roman" w:hAnsi="Times New Roman" w:cs="Times New Roman"/>
                <w:shd w:val="clear" w:color="auto" w:fill="ffffff"/>
                <w:lang w:val="en-US"/>
              </w:rPr>
            </w:r>
            <w:r>
              <w:rPr>
                <w:rFonts w:ascii="Times New Roman" w:hAnsi="Times New Roman" w:cs="Times New Roman"/>
                <w:shd w:val="clear" w:color="auto" w:fill="ffffff"/>
                <w:lang w:val="en-US"/>
              </w:rPr>
            </w:r>
          </w:p>
        </w:tc>
      </w:tr>
      <w:tr>
        <w:tblPrEx/>
        <w:trPr/>
        <w:tc>
          <w:tcPr>
            <w:tcW w:w="269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Котельная №2 (ШПЗ)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66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Фильтры натрий-катионитные ФИПиА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фильтр механический ФОВ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 производительностью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69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290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55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 w:eastAsiaTheme="minorEastAsia"/>
                <w:shd w:val="clear" w:color="auto" w:fill="ffffff"/>
              </w:rPr>
              <w:t xml:space="preserve">309400</w:t>
            </w:r>
            <w:r>
              <w:rPr>
                <w:rFonts w:ascii="Times New Roman" w:hAnsi="Times New Roman" w:cs="Times New Roman"/>
                <w:shd w:val="clear" w:color="auto" w:fill="ffffff"/>
                <w:lang w:val="en-US"/>
              </w:rPr>
            </w:r>
            <w:r>
              <w:rPr>
                <w:rFonts w:ascii="Times New Roman" w:hAnsi="Times New Roman" w:cs="Times New Roman"/>
                <w:shd w:val="clear" w:color="auto" w:fill="ffffff"/>
                <w:lang w:val="en-US"/>
              </w:rPr>
            </w:r>
          </w:p>
        </w:tc>
      </w:tr>
      <w:tr>
        <w:tblPrEx/>
        <w:trPr/>
        <w:tc>
          <w:tcPr>
            <w:tcW w:w="269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Котельная№3 (Мелькомбинат)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66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Фильтры натрий-катионитные ФИПиА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69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80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55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 w:eastAsiaTheme="minorEastAsia"/>
                <w:shd w:val="clear" w:color="auto" w:fill="ffffff"/>
              </w:rPr>
              <w:t xml:space="preserve">54218</w:t>
            </w:r>
            <w:r>
              <w:rPr>
                <w:rFonts w:ascii="Times New Roman" w:hAnsi="Times New Roman" w:cs="Times New Roman"/>
                <w:shd w:val="clear" w:color="auto" w:fill="ffffff"/>
                <w:lang w:val="en-US"/>
              </w:rPr>
            </w:r>
            <w:r>
              <w:rPr>
                <w:rFonts w:ascii="Times New Roman" w:hAnsi="Times New Roman" w:cs="Times New Roman"/>
                <w:shd w:val="clear" w:color="auto" w:fill="ffffff"/>
                <w:lang w:val="en-US"/>
              </w:rPr>
            </w:r>
          </w:p>
        </w:tc>
      </w:tr>
      <w:tr>
        <w:tblPrEx/>
        <w:trPr/>
        <w:tc>
          <w:tcPr>
            <w:tcW w:w="269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Котельная №4 (Экспедиция №5)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66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Дозирование реагента – </w:t>
            </w:r>
            <w:r>
              <w:rPr>
                <w:rFonts w:ascii="Times New Roman" w:hAnsi="Times New Roman" w:cs="Times New Roman"/>
                <w:spacing w:val="1"/>
                <w:shd w:val="clear" w:color="auto" w:fill="ffffff"/>
              </w:rPr>
              <w:t xml:space="preserve">комплексонат «ОПТИОН-312»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69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55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 w:eastAsiaTheme="minorEastAsia"/>
                <w:shd w:val="clear" w:color="auto" w:fill="ffffff"/>
              </w:rPr>
              <w:t xml:space="preserve">2632</w:t>
            </w:r>
            <w:r>
              <w:rPr>
                <w:rFonts w:ascii="Times New Roman" w:hAnsi="Times New Roman" w:cs="Times New Roman"/>
                <w:shd w:val="clear" w:color="auto" w:fill="ffffff"/>
                <w:lang w:val="en-US"/>
              </w:rPr>
            </w:r>
            <w:r>
              <w:rPr>
                <w:rFonts w:ascii="Times New Roman" w:hAnsi="Times New Roman" w:cs="Times New Roman"/>
                <w:shd w:val="clear" w:color="auto" w:fill="ffffff"/>
                <w:lang w:val="en-US"/>
              </w:rPr>
            </w:r>
          </w:p>
        </w:tc>
      </w:tr>
      <w:tr>
        <w:tblPrEx/>
        <w:trPr/>
        <w:tc>
          <w:tcPr>
            <w:tcW w:w="269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Котельная №5 (Совхоз)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366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Дозирование реагента – </w:t>
            </w:r>
            <w:r>
              <w:rPr>
                <w:rFonts w:ascii="Times New Roman" w:hAnsi="Times New Roman" w:cs="Times New Roman"/>
                <w:spacing w:val="1"/>
                <w:shd w:val="clear" w:color="auto" w:fill="ffffff"/>
              </w:rPr>
              <w:t xml:space="preserve">комплексонат «ОПТИОН-312»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692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</w:tc>
        <w:tc>
          <w:tcPr>
            <w:tcW w:w="155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ascii="Times New Roman" w:hAnsi="Times New Roman" w:cs="Times New Roman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 w:eastAsiaTheme="minorEastAsia"/>
                <w:shd w:val="clear" w:color="auto" w:fill="ffffff"/>
              </w:rPr>
              <w:t xml:space="preserve">2030</w:t>
            </w:r>
            <w:r>
              <w:rPr>
                <w:rFonts w:ascii="Times New Roman" w:hAnsi="Times New Roman" w:cs="Times New Roman"/>
                <w:shd w:val="clear" w:color="auto" w:fill="ffffff"/>
                <w:lang w:val="en-US"/>
              </w:rPr>
            </w:r>
            <w:r>
              <w:rPr>
                <w:rFonts w:ascii="Times New Roman" w:hAnsi="Times New Roman" w:cs="Times New Roman"/>
                <w:shd w:val="clear" w:color="auto" w:fill="ffffff"/>
                <w:lang w:val="en-US"/>
              </w:rPr>
            </w:r>
          </w:p>
        </w:tc>
      </w:tr>
    </w:tbl>
    <w:p>
      <w:pPr>
        <w:ind w:firstLine="709"/>
        <w:jc w:val="both"/>
        <w:tabs>
          <w:tab w:val="left" w:pos="567" w:leader="none"/>
          <w:tab w:val="left" w:pos="1276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highlight w:val="none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left" w:pos="1276" w:leader="none"/>
          <w:tab w:val="right" w:pos="9923" w:leader="dot"/>
        </w:tabs>
        <w:rPr>
          <w:rFonts w:eastAsiaTheme="minorEastAsia"/>
          <w:highlight w:val="none"/>
        </w:rPr>
      </w:pPr>
      <w:r>
        <w:rPr>
          <w:rFonts w:eastAsiaTheme="minorEastAsia"/>
        </w:rPr>
        <w:t xml:space="preserve">Существующий и перспективный баланс производител</w:t>
      </w:r>
      <w:r>
        <w:rPr>
          <w:rFonts w:eastAsiaTheme="minorEastAsia"/>
        </w:rPr>
        <w:t xml:space="preserve">ьности водоподготовительной установки котельных  и потерь теплоносителя в тепловых сетях муниципальной котельной с учетом развития системы теплоснабжения на перспективу представлен в Таблице 44.</w:t>
      </w:r>
      <w:r>
        <w:rPr>
          <w:rFonts w:eastAsiaTheme="minorEastAsia"/>
          <w:highlight w:val="none"/>
        </w:rPr>
      </w:r>
      <w:r>
        <w:rPr>
          <w:rFonts w:eastAsiaTheme="minorEastAsia"/>
          <w:highlight w:val="none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  <w:sectPr>
          <w:footnotePr/>
          <w:endnotePr/>
          <w:type w:val="nextPage"/>
          <w:pgSz w:w="11906" w:h="16838" w:orient="portrait"/>
          <w:pgMar w:top="1134" w:right="851" w:bottom="1134" w:left="1701" w:header="340" w:footer="0" w:gutter="0"/>
          <w:cols w:num="1" w:sep="0" w:space="708" w:equalWidth="1"/>
          <w:docGrid w:linePitch="360"/>
          <w:titlePg/>
        </w:sectPr>
      </w:pP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right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44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Существующий и перспективный баланс производительности водоподготовительной 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установок котельных и потерь теплоносителя в тепловых сетях с учетом развития системы теплоснабжения на перспективу 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tbl>
      <w:tblPr>
        <w:tblW w:w="15276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Look w:val="04A0" w:firstRow="1" w:lastRow="0" w:firstColumn="1" w:lastColumn="0" w:noHBand="0" w:noVBand="1"/>
      </w:tblPr>
      <w:tblGrid>
        <w:gridCol w:w="5776"/>
        <w:gridCol w:w="833"/>
        <w:gridCol w:w="1004"/>
        <w:gridCol w:w="8"/>
        <w:gridCol w:w="992"/>
        <w:gridCol w:w="850"/>
        <w:gridCol w:w="851"/>
        <w:gridCol w:w="992"/>
        <w:gridCol w:w="851"/>
        <w:gridCol w:w="992"/>
        <w:gridCol w:w="993"/>
        <w:gridCol w:w="1134"/>
      </w:tblGrid>
      <w:tr>
        <w:tblPrEx/>
        <w:trPr>
          <w:trHeight w:val="20"/>
        </w:trPr>
        <w:tc>
          <w:tcPr>
            <w:shd w:val="clear" w:color="auto" w:fill="auto"/>
            <w:tcW w:w="577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Наименование показателя котельной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W w:w="950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Баланс производительности водоподготовительной установки котельной и потерь теплоносителя в тепловых сетях с учетом развития системы теплоснабжения, м</w:t>
            </w:r>
            <w:r>
              <w:rPr>
                <w:bCs/>
                <w:sz w:val="22"/>
                <w:szCs w:val="22"/>
                <w:vertAlign w:val="superscript"/>
              </w:rPr>
              <w:t xml:space="preserve">3</w:t>
            </w:r>
            <w:r>
              <w:rPr>
                <w:bCs/>
                <w:sz w:val="22"/>
                <w:szCs w:val="22"/>
              </w:rPr>
              <w:t xml:space="preserve">/час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W w:w="5776" w:type="dxa"/>
            <w:vAlign w:val="center"/>
            <w:vMerge w:val="continue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right w:val="single" w:color="auto" w:sz="4" w:space="0"/>
            </w:tcBorders>
            <w:tcW w:w="1837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Базовый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9"/>
            <w:shd w:val="clear" w:color="auto" w:fill="auto"/>
            <w:tcBorders>
              <w:left w:val="single" w:color="auto" w:sz="4" w:space="0"/>
            </w:tcBorders>
            <w:tcW w:w="766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Перспективный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537"/>
        </w:trPr>
        <w:tc>
          <w:tcPr>
            <w:tcW w:w="5776" w:type="dxa"/>
            <w:vAlign w:val="center"/>
            <w:vMerge w:val="continue"/>
            <w:textDirection w:val="lrTb"/>
            <w:noWrap w:val="false"/>
          </w:tcPr>
          <w:p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833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2022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right w:val="single" w:color="auto" w:sz="4" w:space="0"/>
            </w:tcBorders>
            <w:tcW w:w="101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2023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2024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850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2025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20256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20267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2028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2029-2033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993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2034-2038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2039-2041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4"/>
            <w:shd w:val="clear" w:color="auto" w:fill="auto"/>
            <w:tcBorders>
              <w:right w:val="single" w:color="auto" w:sz="4" w:space="0"/>
            </w:tcBorders>
            <w:tcW w:w="762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№1 (ТКСИ)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Borders>
              <w:left w:val="single" w:color="auto" w:sz="4" w:space="0"/>
            </w:tcBorders>
            <w:tcW w:w="7655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577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Производительность водоподготовительной установки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3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right w:val="single" w:color="auto" w:sz="4" w:space="0"/>
            </w:tcBorders>
            <w:tcW w:w="101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43,10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43,30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53,34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62,5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66,33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68,42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68,42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68,42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68,42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577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Максимальные нормативные потери теплоносителя в тепловых сетях (ГВС при открытой системе и потери сетевой воды)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3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right w:val="single" w:color="auto" w:sz="4" w:space="0"/>
            </w:tcBorders>
            <w:tcW w:w="1012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18,78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18,78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18,78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18,78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18,78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18,78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18,78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tcW w:w="993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18,78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18,78</w:t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eastAsiaTheme="minorHAnsi" w:cstheme="minorBid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gridSpan w:val="12"/>
            <w:shd w:val="clear" w:color="auto" w:fill="auto"/>
            <w:tcW w:w="15276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2 (ШПЗ)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577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Производительность водоподготовительной установки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3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42,96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right w:val="single" w:color="auto" w:sz="4" w:space="0"/>
            </w:tcBorders>
            <w:tcW w:w="101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43,15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43,35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43,73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5776" w:type="dxa"/>
            <w:vAlign w:val="center"/>
            <w:textDirection w:val="lrTb"/>
            <w:noWrap w:val="false"/>
          </w:tcPr>
          <w:p>
            <w:pPr>
              <w:spacing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Максимальные нормативные потери теплоносителя в тепловых сетях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3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right w:val="single" w:color="auto" w:sz="4" w:space="0"/>
            </w:tcBorders>
            <w:tcW w:w="101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4,03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4,08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4,49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4,49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4,49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2"/>
            <w:shd w:val="clear" w:color="auto" w:fill="auto"/>
            <w:tcW w:w="15276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3 (Мелькомбинат)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577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Производительность водоподготовительной установки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3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right w:val="single" w:color="auto" w:sz="4" w:space="0"/>
            </w:tcBorders>
            <w:tcW w:w="101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6,69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577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Максимальные нормативные потери теплоносителя в тепловых сетях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3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right w:val="single" w:color="auto" w:sz="4" w:space="0"/>
            </w:tcBorders>
            <w:tcW w:w="101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2"/>
            <w:shd w:val="clear" w:color="auto" w:fill="auto"/>
            <w:tcW w:w="15276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4 (Экспедиция 5)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577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Производительность водоподготовительной установки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3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right w:val="single" w:color="auto" w:sz="4" w:space="0"/>
            </w:tcBorders>
            <w:tcW w:w="101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577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Максимальные нормативные потери теплоносителя в тепловых сетях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3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right w:val="single" w:color="auto" w:sz="4" w:space="0"/>
            </w:tcBorders>
            <w:tcW w:w="101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12"/>
            <w:shd w:val="clear" w:color="auto" w:fill="auto"/>
            <w:tcW w:w="15276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Котельная № 5 (Совхоз)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577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Производительность водоподготовительной установки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3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right w:val="single" w:color="auto" w:sz="4" w:space="0"/>
            </w:tcBorders>
            <w:tcW w:w="101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577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Максимальные нормативные потери теплоносителя в тепловых сетях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3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right w:val="single" w:color="auto" w:sz="4" w:space="0"/>
            </w:tcBorders>
            <w:tcW w:w="101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ind w:firstLine="709"/>
        <w:jc w:val="center"/>
        <w:rPr>
          <w:rFonts w:eastAsiaTheme="minorEastAsia"/>
          <w:shd w:val="clear" w:color="auto" w:fill="ffffff"/>
        </w:rPr>
        <w:sectPr>
          <w:footnotePr/>
          <w:endnotePr/>
          <w:type w:val="nextPage"/>
          <w:pgSz w:w="16838" w:h="11906" w:orient="landscape"/>
          <w:pgMar w:top="851" w:right="851" w:bottom="851" w:left="851" w:header="340" w:footer="0" w:gutter="0"/>
          <w:cols w:num="1" w:sep="0" w:space="708" w:equalWidth="1"/>
          <w:docGrid w:linePitch="360"/>
          <w:titlePg/>
        </w:sectPr>
      </w:pP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rPr>
          <w:rFonts w:eastAsiaTheme="majorEastAsia"/>
          <w:bCs/>
          <w:caps/>
          <w:szCs w:val="26"/>
        </w:rPr>
      </w:pPr>
      <w:r>
        <w:rPr>
          <w:rFonts w:eastAsiaTheme="majorEastAsia"/>
          <w:bCs/>
          <w:caps/>
          <w:szCs w:val="26"/>
        </w:rPr>
        <w:t xml:space="preserve">ГЛАВА 7. ПРЕДЛОЖЕНИЯ ПО СТРОИТЕЛЬСТВУ, РЕКОНСТРУКЦИИ, ТЕХНИЧЕСКОМУ ПЕРЕВООРУЖЕНИЮ И МОДЕРНИЗАЦИИ ИСТОЧНИКОВ ТЕПЛОВОЙ ЭНЕРГИИ</w:t>
      </w: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92" w:name="_Toc149055622"/>
      <w:r>
        <w:rPr>
          <w:rFonts w:eastAsiaTheme="majorEastAsia"/>
          <w:bCs/>
        </w:rPr>
        <w:t xml:space="preserve">7.1. Описание условий организации </w:t>
      </w:r>
      <w:r>
        <w:rPr>
          <w:rFonts w:eastAsiaTheme="majorEastAsia"/>
          <w:bCs/>
        </w:rPr>
        <w:t xml:space="preserve">централизованного теплоснабжения, индивидуального теплоснабжения, а также поквартирного отопления</w:t>
      </w:r>
      <w:bookmarkEnd w:id="92"/>
      <w:r>
        <w:rPr>
          <w:rFonts w:eastAsiaTheme="majorEastAsia"/>
          <w:bCs/>
        </w:rPr>
        <w:t xml:space="preserve">.</w:t>
      </w:r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Существующая по состоянию на отчетный (базовый)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 зона централизованного теплоснабжения котельной №1 (ТКСИ) охватывает территорию, являющуюся частью кадастрового квартала 38:29:011618, включающую часть Тайшет</w:t>
      </w:r>
      <w:r>
        <w:rPr>
          <w:rFonts w:eastAsiaTheme="minorEastAsia"/>
          <w:shd w:val="clear" w:color="auto" w:fill="ffffff"/>
        </w:rPr>
        <w:t xml:space="preserve">ского городского поселения в которую входят микрорайоны: Новый, имени Мясникова, имени Пахотищева, улицы Автозаводская, Луговая, Российская, Молодежная, Полевая, Мира, а также село Старый Акульшет, микрорайон Солнечный, улицы Индустриальная и Архитекторов.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Существующая по состоянию на отчетный (базовый)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</w:t>
      </w:r>
      <w:r>
        <w:rPr>
          <w:rFonts w:eastAsiaTheme="minorHAnsi"/>
          <w:lang w:eastAsia="en-US"/>
        </w:rPr>
        <w:t xml:space="preserve"> зона централизованного теплоснабжения котельной №2 (ШПЗ) </w:t>
      </w:r>
      <w:r>
        <w:rPr>
          <w:rFonts w:eastAsiaTheme="minorEastAsia"/>
          <w:shd w:val="clear" w:color="auto" w:fill="ffffff"/>
        </w:rPr>
        <w:t xml:space="preserve">охватывает территорию, являющуюся частью кадастрового квартала 38:29:011608, включающую часть Тайшетского городского поселения от ручья Крутенький в Центральном район</w:t>
      </w:r>
      <w:r>
        <w:rPr>
          <w:rFonts w:eastAsiaTheme="minorEastAsia"/>
          <w:shd w:val="clear" w:color="auto" w:fill="ffffff"/>
        </w:rPr>
        <w:t xml:space="preserve">е, за исключением объектов ОАО «РЖД», многоквартирного дома №2 по улице Осипенко и четырех домов индивидуального жилищного сектора по улице Дарвина и улице Пугачева в Северо-Западном районе города. С Южной стороны зона действия ограничена железной дорогой.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Существующая по состоянию на отчетный (базовый)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</w:t>
      </w:r>
      <w:r>
        <w:rPr>
          <w:rFonts w:eastAsiaTheme="minorHAnsi"/>
          <w:lang w:eastAsia="en-US"/>
        </w:rPr>
        <w:t xml:space="preserve"> зона централизованного теплоснабжения котельной № 3 (Мелькомбинат) </w:t>
      </w:r>
      <w:r>
        <w:rPr>
          <w:rFonts w:eastAsiaTheme="minorEastAsia"/>
          <w:shd w:val="clear" w:color="auto" w:fill="ffffff"/>
        </w:rPr>
        <w:t xml:space="preserve">охватывает территорию, являющуюся частью кадастрового квартала 38:29:020603, южной части города в районе улиц Пушкина, Ленина, Воинов интернационалистов, Комсомольской, Свердлова.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Существующая по состоянию на отчетный (базовый)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</w:t>
      </w:r>
      <w:r>
        <w:rPr>
          <w:rFonts w:eastAsiaTheme="minorHAnsi"/>
          <w:lang w:eastAsia="en-US"/>
        </w:rPr>
        <w:t xml:space="preserve"> зона централизованного теплоснабжения котельной № 4 (Экспедиция 5) </w:t>
      </w:r>
      <w:r>
        <w:rPr>
          <w:rFonts w:eastAsiaTheme="minorEastAsia"/>
          <w:shd w:val="clear" w:color="auto" w:fill="ffffff"/>
        </w:rPr>
        <w:t xml:space="preserve">охватывает территорию, являющуюся частью кадастрового квартала 38:29:020243,</w:t>
      </w:r>
      <w:r>
        <w:rPr>
          <w:rFonts w:eastAsiaTheme="minorEastAsia"/>
        </w:rPr>
        <w:t xml:space="preserve"> </w:t>
      </w:r>
      <w:r>
        <w:rPr>
          <w:rFonts w:eastAsiaTheme="minorEastAsia"/>
          <w:shd w:val="clear" w:color="auto" w:fill="ffffff"/>
        </w:rPr>
        <w:t xml:space="preserve">южной части города в районе улиц Тимирязева, 19-го Партсъезда, Советской.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tabs>
          <w:tab w:val="left" w:pos="993" w:leader="none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Существующая по состоянию на отчетный (базовый)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</w:t>
      </w:r>
      <w:r>
        <w:rPr>
          <w:rFonts w:eastAsiaTheme="minorHAnsi"/>
          <w:lang w:eastAsia="en-US"/>
        </w:rPr>
        <w:t xml:space="preserve"> зона централизованного теплоснабжения котельной №5 (Совхоз) </w:t>
      </w:r>
      <w:r>
        <w:rPr>
          <w:rFonts w:eastAsiaTheme="minorEastAsia"/>
          <w:shd w:val="clear" w:color="auto" w:fill="ffffff"/>
        </w:rPr>
        <w:t xml:space="preserve">охватывает территорию, являющуюся частью кадастрового квартала 8:29:011701, </w:t>
      </w:r>
      <w:r>
        <w:rPr>
          <w:rFonts w:eastAsiaTheme="minorEastAsia"/>
        </w:rPr>
        <w:t xml:space="preserve">часть жилищного фонда в Северном районе города по улицам Капустина, Северной и Ключевой.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Перспективные зоны централизованного теплоснабжения </w:t>
      </w:r>
      <w:r>
        <w:rPr>
          <w:rFonts w:eastAsiaTheme="minorHAnsi"/>
          <w:lang w:eastAsia="en-US"/>
        </w:rPr>
        <w:t xml:space="preserve">муниципальный котельных Тайшетского городского поселения по прогнозу</w:t>
      </w:r>
      <w:r>
        <w:rPr>
          <w:rFonts w:eastAsiaTheme="minorEastAsia"/>
          <w:shd w:val="clear" w:color="auto" w:fill="ffffff"/>
        </w:rPr>
        <w:t xml:space="preserve"> к 2041 году будут совпадать с существующими по состоянию на отчетный (базовый)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 зонами централизованного теплоснабжения.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Существующая по состоянию на отчетный (базовый)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 зона индивидуального теплоснабжения Тайшетского городского поселения включает в себя все индивидуальные источники тепловой энергии индивидуальных жилых домов и малоэтажных жилых домов</w:t>
      </w:r>
      <w:r>
        <w:rPr>
          <w:rFonts w:eastAsiaTheme="minorHAnsi"/>
          <w:lang w:eastAsia="en-US"/>
        </w:rPr>
        <w:t xml:space="preserve">, </w:t>
      </w:r>
      <w:r>
        <w:rPr>
          <w:rFonts w:eastAsiaTheme="minorEastAsia"/>
          <w:shd w:val="clear" w:color="auto" w:fill="ffffff"/>
        </w:rPr>
        <w:t xml:space="preserve">расположенных на территории муниципального образования. Зона индивидуального теплоснабжения муниципального образования на перспективу будет </w:t>
      </w:r>
      <w:r>
        <w:rPr>
          <w:rFonts w:eastAsiaTheme="minorHAnsi"/>
          <w:lang w:eastAsia="en-US"/>
        </w:rPr>
        <w:t xml:space="preserve">возрастать за счет но</w:t>
      </w:r>
      <w:r>
        <w:rPr>
          <w:rFonts w:eastAsiaTheme="minorHAnsi"/>
          <w:lang w:eastAsia="en-US"/>
        </w:rPr>
        <w:t xml:space="preserve">вого строительства. Это так называемый взаимозаменяемый жилищный фонд, когда индивидуальное ветхое и аварийное жилье будет заменяться новым на том же земельном участке самим индивидуальным застройщиком. Сохраняемые на территории муниципального образования </w:t>
      </w:r>
      <w:r>
        <w:rPr>
          <w:rFonts w:eastAsiaTheme="minorEastAsia"/>
          <w:shd w:val="clear" w:color="auto" w:fill="ffffff"/>
        </w:rPr>
        <w:t xml:space="preserve">индивидуальные жилые дома и малоэтажные жилые дома</w:t>
      </w:r>
      <w:r>
        <w:rPr>
          <w:rFonts w:eastAsiaTheme="minorHAnsi"/>
          <w:lang w:eastAsia="en-US"/>
        </w:rPr>
        <w:t xml:space="preserve"> будут отапливаться за счет индивидуальных источников тепловой энергии - индивидуальных котельных агрегатов и печей, работающих на угле буром, дровах и электроэнергии.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Поквартирные системы отопления представляют собой системы с разводкой трубопроводов в пределах одной квартиры, обеспечивающие поддержание заданной температуры воздуха в помещениях квартиры. Поквартирные системы отопления на </w:t>
      </w:r>
      <w:r>
        <w:rPr>
          <w:rFonts w:eastAsiaTheme="minorEastAsia"/>
          <w:shd w:val="clear" w:color="auto" w:fill="ffffff"/>
        </w:rPr>
        <w:t xml:space="preserve">территории Тайшетского городского поселения по состоянию на отчетный (базовый)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 отсутствуют.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93" w:name="_Toc149055623"/>
      <w:r>
        <w:rPr>
          <w:rFonts w:eastAsiaTheme="majorEastAsia"/>
          <w:bCs/>
        </w:rPr>
        <w:t xml:space="preserve">7.2. Описание текущей ситуации, связанной с ранее принятыми</w:t>
      </w:r>
      <w:r>
        <w:rPr>
          <w:rFonts w:eastAsiaTheme="majorEastAsia"/>
          <w:bCs/>
        </w:rPr>
        <w:t xml:space="preserve"> в соответствии с законодательством Российской Федерации об электроэнергетике решениями об отнесении генерирующих объектов к генерирующим объектам, мощность которых поставляется в вынужденном режиме в целях обеспечения надежного теплоснабжения потребителей</w:t>
      </w:r>
      <w:bookmarkEnd w:id="93"/>
      <w:r>
        <w:rPr>
          <w:rFonts w:eastAsiaTheme="majorEastAsia"/>
          <w:bCs/>
        </w:rPr>
        <w:t xml:space="preserve">.</w:t>
      </w:r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Принятые в соответствии с законодательством Российской Федерации решения</w:t>
      </w:r>
      <w:r>
        <w:rPr>
          <w:rFonts w:eastAsiaTheme="minorEastAsia"/>
        </w:rPr>
        <w:t xml:space="preserve"> об отнесении генерирующих объектов к генерирующим объектам, мощность которых поставляется в вынужденном режиме в целях обеспечения надежного теплоснабжения потребителей, на территории Тайшетского городского поселения по состоянию на отчетный (базовый)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 отсутствуют.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94" w:name="_Toc149055624"/>
      <w:r>
        <w:rPr>
          <w:rFonts w:eastAsiaTheme="majorEastAsia"/>
          <w:bCs/>
        </w:rPr>
        <w:t xml:space="preserve">7.3. Анализ надежности и качества теплоснабжения для случаев отнесения генерирующего объекта к объектам, вывод которых из эксплуатации может привести к нарушению надежности теплоснабжения</w:t>
      </w:r>
      <w:bookmarkEnd w:id="94"/>
      <w:r>
        <w:rPr>
          <w:rFonts w:eastAsiaTheme="majorEastAsia"/>
          <w:bCs/>
        </w:rPr>
        <w:t xml:space="preserve">.</w:t>
      </w:r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Случаи отнесения генерирующего объекта к объектам, вывод которых из эксплуатации может привести к нарушению надежности теплоснабжения, на территории Тайшетского городского поселения по состоянию на отчетный (базовый) 2023 год отсутствуют.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Возникновение случаев отнесения генерирующего объекта к объектам, вывод которых из эксплуатации может привести к нарушению надежности теплоснабжения, на территории муниципального образования на перспективу до 2041 года не прогнозируется.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95" w:name="_Toc149055625"/>
      <w:r>
        <w:rPr>
          <w:rFonts w:eastAsiaTheme="majorEastAsia"/>
          <w:bCs/>
        </w:rPr>
        <w:t xml:space="preserve">7.4. Обоснование предлагаемых для строительства источников тепловой энергии, функционирующих в режиме комбинированной выработки электрической и тепловой энергии, для обеспечения перспективных тепловых нагрузок</w:t>
      </w:r>
      <w:bookmarkEnd w:id="95"/>
      <w:r>
        <w:rPr>
          <w:rFonts w:eastAsiaTheme="majorEastAsia"/>
          <w:bCs/>
        </w:rPr>
        <w:t xml:space="preserve">.</w:t>
      </w:r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Источники тепловой энергии, функционирующие в режиме комбинированной выработки электрической и тепловой энергии, на территории Тайшетского городского поселения по состоянию на отчетный (базовый)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 отсутствуют.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Строительство источников тепловой энергии, функционирующих в режиме комбинированной выработки электрической и тепловой энергии, на территории муниципального образования на перспективу не прогнозируется.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96" w:name="_Toc149055626"/>
      <w:r>
        <w:rPr>
          <w:rFonts w:eastAsiaTheme="majorEastAsia"/>
          <w:bCs/>
        </w:rPr>
        <w:t xml:space="preserve">7.5. Обоснование предлагаемых для реконструкции и модернизации действующих источников тепловой энергии, функционирующих в режиме комбинированной выработки электрической и тепловой энергии, для обеспечения перспективных приростов тепловых нагрузок</w:t>
      </w:r>
      <w:bookmarkEnd w:id="96"/>
      <w:r>
        <w:rPr>
          <w:rFonts w:eastAsiaTheme="majorEastAsia"/>
          <w:bCs/>
        </w:rPr>
        <w:t xml:space="preserve">.</w:t>
      </w:r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Источники тепловой энергии, функционирующие в режиме комбинированной выработки электрической и тепловой энергии, на территории Тайшетского городского поселения по состоянию на отчетный (базовый)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 отсутствуют.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Строительство источников тепловой энергии, функционирующих в режиме комбинированной выработки электрической и тепловой энергии, на территории муниципального образования на перспективу не прогнозируется.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97" w:name="_Toc149055627"/>
      <w:r>
        <w:rPr>
          <w:rFonts w:eastAsiaTheme="majorEastAsia"/>
          <w:bCs/>
        </w:rPr>
        <w:t xml:space="preserve">7.6. Обоснование предложений по переоборудованию котельных в источники тепловой энергии, </w:t>
      </w:r>
      <w:r>
        <w:rPr>
          <w:rFonts w:eastAsiaTheme="majorEastAsia"/>
          <w:bCs/>
        </w:rPr>
        <w:t xml:space="preserve">функционирующие в режиме комбинированной выработки электрической и тепловой энергии, с выработкой электроэнергии на собственные нужды теплоснабжающей организации в отношении источника тепловой энергии, на базе существующих и перспективных тепловых нагрузок</w:t>
      </w:r>
      <w:bookmarkEnd w:id="97"/>
      <w:r>
        <w:rPr>
          <w:rFonts w:eastAsiaTheme="majorEastAsia"/>
          <w:bCs/>
        </w:rPr>
        <w:t xml:space="preserve">.</w:t>
      </w:r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Переоборудование существующих по состоянию на отчетный (базовый)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 котельных Тайшетского городского поселения в источники тепловой энергии, функционирующие в режиме комбинированной выработки электрической и тепловой энергии, на базе существующих и перспективных тепловых нагрузок на перспективу не прогнозируется.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98" w:name="_Toc149055628"/>
      <w:r>
        <w:rPr>
          <w:rFonts w:eastAsiaTheme="majorEastAsia"/>
          <w:bCs/>
        </w:rPr>
        <w:t xml:space="preserve">7.7. Обоснование предлагаемых для реконструкции и модернизации котельных с увеличением зоны их действия, путем включения в нее зон действия существующих источников тепловой энергии</w:t>
      </w:r>
      <w:bookmarkEnd w:id="98"/>
      <w:r>
        <w:rPr>
          <w:rFonts w:eastAsiaTheme="majorEastAsia"/>
          <w:bCs/>
        </w:rPr>
        <w:t xml:space="preserve">.</w:t>
      </w:r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Реконструкция и модернизация существующих по состоянию на отчетный (базовый)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 котельных Тайшетского городского поселения, с увеличением зон их действия, путем включения в нее зон действия существующих котельных, на перспективу не прогнозируется.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99" w:name="_Toc149055629"/>
      <w:r>
        <w:rPr>
          <w:rFonts w:eastAsiaTheme="majorEastAsia"/>
          <w:bCs/>
        </w:rPr>
        <w:t xml:space="preserve">7.8. Обоснование предлагаемых для перевода в пиковый режим работы котельных по отношению к источникам тепловой энергии, функционирующим в режиме комбинированной выработки электрической и тепловой энергии</w:t>
      </w:r>
      <w:bookmarkEnd w:id="99"/>
      <w:r>
        <w:rPr>
          <w:rFonts w:eastAsiaTheme="majorEastAsia"/>
          <w:bCs/>
        </w:rPr>
        <w:t xml:space="preserve">.</w:t>
      </w:r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Источники тепловой энергии, функционирующие в режиме комбинированной выработки электрической и тепловой энергии, на территории Тайшетского городского поселения по состоянию на отчетный (базовый)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 отсутствуют.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Перевод в пиковый режим работы муниципальных котельных Тайшетского городского поселения на перспективу не прогнозируется.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00" w:name="_Toc149055630"/>
      <w:r>
        <w:rPr>
          <w:rFonts w:eastAsiaTheme="majorEastAsia"/>
          <w:bCs/>
        </w:rPr>
        <w:t xml:space="preserve">7.9. Обоснование предложений по расширению зон действия действующих источников тепловой энергии, функционирующих в режиме комбинированной выработки электрической и тепловой энергии</w:t>
      </w:r>
      <w:bookmarkEnd w:id="100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Источники тепловой энергии, функционирующие в режиме комбинированной выработки электрической и тепловой энергии, на территории Тайшетского городского поселения по состоянию на отчетный (базовый)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 отсутствуют.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Строительство источников тепловой энергии, функционирующих в режиме комбинированной выработки электрической и тепловой энергии, на территории муниципального образования на перспективу не прогнозируется.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01" w:name="_Toc149055631"/>
      <w:r>
        <w:rPr>
          <w:rFonts w:eastAsiaTheme="majorEastAsia"/>
          <w:bCs/>
        </w:rPr>
        <w:t xml:space="preserve">7.10. Обоснование предлагаемых для вывода в резерв и вывода из эксплуатации котельных при передаче тепловых нагрузок на другие источники тепловой энергии</w:t>
      </w:r>
      <w:bookmarkEnd w:id="101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Вывод в резерв и вывод из эксплуатации существующих по состоянию на отчетный (базовый)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 котельных Тайшетского городского поселения при передаче тепловых нагрузок на другие источники тепловой энергии, на перспективу не прогнозируется.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02" w:name="_Toc149055632"/>
      <w:r>
        <w:rPr>
          <w:rFonts w:eastAsiaTheme="majorEastAsia"/>
          <w:bCs/>
        </w:rPr>
        <w:t xml:space="preserve">7.11. Обоснование организации индивидуального теплоснабжения в зонах застройки Тайшетского муниципального образования «Тайшетское городское поселение» малоэтажными жилыми зданиями</w:t>
      </w:r>
      <w:bookmarkEnd w:id="102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Теплоснабжение в зонах застройки Тайшетского городского поселения малоэтажными жилыми домами на перспективу </w:t>
      </w:r>
      <w:r>
        <w:rPr>
          <w:rFonts w:eastAsiaTheme="minorEastAsia"/>
        </w:rPr>
        <w:t xml:space="preserve">планируется осуществлять индивидуальным теплоснабжением. Это связано с тем, что теплоснабжение зоны застройки муниципального образования малоэтажными жилыми домами пока не планируется осуществлять от существующих котельных Тайшетского городского поселения.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03" w:name="_Toc149055633"/>
      <w:r>
        <w:rPr>
          <w:rFonts w:eastAsiaTheme="majorEastAsia"/>
          <w:bCs/>
        </w:rPr>
        <w:t xml:space="preserve">7.12. Обоснова</w:t>
      </w:r>
      <w:r>
        <w:rPr>
          <w:rFonts w:eastAsiaTheme="majorEastAsia"/>
          <w:bCs/>
        </w:rPr>
        <w:t xml:space="preserve">ние перспективных балансов производства и потребления тепловой мощности источников тепловой энергии и теплоносителя и присоединенной тепловой нагрузки в каждой из систем теплоснабжения Тайшетского муниципального образования «Тайшетское городское поселение»</w:t>
      </w:r>
      <w:bookmarkEnd w:id="103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Изменение перспективных балансов производства и потребления тепловой мощности котельных Тайшетского городского поселения</w:t>
      </w:r>
      <w:r>
        <w:rPr>
          <w:rFonts w:eastAsiaTheme="minorHAnsi"/>
          <w:lang w:eastAsia="en-US"/>
        </w:rPr>
        <w:t xml:space="preserve">, </w:t>
      </w:r>
      <w:r>
        <w:rPr>
          <w:rFonts w:eastAsiaTheme="minorEastAsia"/>
        </w:rPr>
        <w:t xml:space="preserve">теплоносителя тепловых сетей, присоединенной тепловой нагрузки, составлены с учетом </w:t>
      </w:r>
      <w:r>
        <w:rPr>
          <w:rFonts w:eastAsiaTheme="majorEastAsia"/>
          <w:bCs/>
        </w:rPr>
        <w:t xml:space="preserve">прогноза приростов площади строительных фондов</w:t>
      </w:r>
      <w:r>
        <w:rPr>
          <w:rFonts w:eastAsiaTheme="minorEastAsia"/>
        </w:rPr>
        <w:t xml:space="preserve">, перечень которых приведен в таблице 35 пункта 2.2. Главы 2 Обосновывающих материалов.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04" w:name="_Toc149055634"/>
      <w:r>
        <w:rPr>
          <w:rFonts w:eastAsiaTheme="majorEastAsia"/>
          <w:bCs/>
        </w:rPr>
        <w:t xml:space="preserve">7.13. Анализ целесообразности ввода новых, реконструкции и модернизации существующих источников тепловой энергии с использованием возобновляемых источников энергии, а также местных видов топлива</w:t>
      </w:r>
      <w:bookmarkEnd w:id="104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Муниципальные котельные Тайшетского городского поселения в процессе своей эксплуатации в качестве основного топлива используют </w:t>
      </w:r>
      <w:r>
        <w:rPr>
          <w:rFonts w:eastAsiaTheme="minorEastAsia"/>
          <w:shd w:val="clear" w:color="auto" w:fill="ffffff"/>
        </w:rPr>
        <w:t xml:space="preserve">уголь бурый марки Б </w:t>
      </w:r>
      <w:r>
        <w:rPr>
          <w:rFonts w:eastAsiaTheme="minorEastAsia"/>
          <w:spacing w:val="1"/>
          <w:shd w:val="clear" w:color="auto" w:fill="ffffff"/>
        </w:rPr>
        <w:t xml:space="preserve">Канско-</w:t>
      </w:r>
      <w:r>
        <w:rPr>
          <w:rFonts w:eastAsiaTheme="minorEastAsia"/>
          <w:spacing w:val="1"/>
          <w:shd w:val="clear" w:color="auto" w:fill="ffffff"/>
        </w:rPr>
        <w:t xml:space="preserve">Ачинский, Ирбейского разреза</w:t>
      </w:r>
      <w:r>
        <w:rPr>
          <w:rFonts w:eastAsiaTheme="minorEastAsia"/>
          <w:shd w:val="clear" w:color="auto" w:fill="ffffff"/>
        </w:rPr>
        <w:t xml:space="preserve">.</w:t>
      </w:r>
      <w:r>
        <w:rPr>
          <w:rFonts w:eastAsiaTheme="minorEastAsia"/>
        </w:rPr>
        <w:t xml:space="preserve"> Перевод муниципальных котельных на другое основное топливо экономически нецелесообразно.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709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Индивидуальные источники тепловой энергии индивидуальных жилых домов и малоэтажных жилых домов, расположенных на территории Тайшетского городского поселения, в качестве местного топлива для отопления используют дрова, уголь и электроэнергию.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Источники тепловой энергии с использованием возобновляемых источников энергии по состоянию на отчетный (базовый)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 на территории Тайшетского городского поселения отсутствуют.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Строительство источников тепловой энергии с использованием возобновляемых источников энергии на территории муниципального образования на перспективу не прогнозируется.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05" w:name="_Toc149055635"/>
      <w:r>
        <w:rPr>
          <w:rFonts w:eastAsiaTheme="majorEastAsia"/>
          <w:bCs/>
        </w:rPr>
        <w:t xml:space="preserve">7.14. Обоснование организации теплоснабжения в производственных зонах на территории Тайшетского городского поселения</w:t>
      </w:r>
      <w:bookmarkEnd w:id="105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Теплоснабжение в производственных зонах на территории Тайшетского городского поселения по состоянию на отчетный (базовый)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 отсутствует. Организация теплоснабжения в производственных зонах на территории муниципального образования по данным на отчетный (базовый)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 на перспективу не прогнозируется.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06" w:name="_Toc149055636"/>
      <w:r>
        <w:rPr>
          <w:rFonts w:eastAsiaTheme="majorEastAsia"/>
          <w:bCs/>
        </w:rPr>
        <w:t xml:space="preserve">7.15. Результаты расчетов радиуса эффективного теплоснабжения</w:t>
      </w:r>
      <w:bookmarkEnd w:id="106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rPr>
          <w:rFonts w:eastAsiaTheme="minorEastAsia"/>
        </w:rPr>
      </w:pPr>
      <w:r>
        <w:rPr>
          <w:rFonts w:eastAsiaTheme="minorEastAsia"/>
        </w:rPr>
        <w:t xml:space="preserve">Радиус эффективного теплоснабжения - радиус зоны действия теплового источника, способного обеспечить максимальную тепловую нагрузку при существующей теплоплотности без капитальных затрат на реконструкцию источника тепловой энергии.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rPr>
          <w:rFonts w:eastAsiaTheme="minorEastAsia"/>
        </w:rPr>
      </w:pPr>
      <w:r>
        <w:rPr>
          <w:rFonts w:eastAsiaTheme="minorEastAsia"/>
        </w:rPr>
        <w:t xml:space="preserve">Результаты расчета радиусов эффективного теплоснабжения котельных Тайшетского городского поселения представлены в Таблице 45.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right"/>
        <w:rPr>
          <w:rFonts w:eastAsiaTheme="minorEastAsia"/>
        </w:rPr>
      </w:pPr>
      <w:r>
        <w:rPr>
          <w:rFonts w:eastAsiaTheme="minorEastAsia"/>
        </w:rPr>
        <w:t xml:space="preserve">Таблица 45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rPr>
          <w:rFonts w:eastAsiaTheme="minorEastAsia"/>
        </w:rPr>
      </w:pPr>
      <w:r>
        <w:rPr>
          <w:rFonts w:eastAsiaTheme="minorEastAsia"/>
        </w:rPr>
        <w:t xml:space="preserve">Результаты расчета радиусов эффективного теплоснабжения муниципальных котельных Тайшетского городского поселения</w:t>
      </w:r>
      <w:r>
        <w:rPr>
          <w:rFonts w:eastAsiaTheme="minorEastAsia"/>
        </w:rPr>
      </w:r>
      <w:r>
        <w:rPr>
          <w:rFonts w:eastAsiaTheme="minorEastAsia"/>
        </w:rPr>
      </w: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851"/>
        <w:gridCol w:w="3022"/>
        <w:gridCol w:w="2697"/>
      </w:tblGrid>
      <w:tr>
        <w:tblPrEx/>
        <w:trPr/>
        <w:tc>
          <w:tcPr>
            <w:tcW w:w="201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Наименование котельной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57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Расстояние до наиболее удалённого потребителя, км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40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Радиус эффективного теплоснабжения, км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2012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№1 (ТКСИ) 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57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2,962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40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2,914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2012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№2 (ШПЗ)  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57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2,765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40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2,242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2012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 3 (Мелькомбинат)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57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0,92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40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3,070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2012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 4 (Экспедиция 5)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57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0,71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40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4,169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2012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№ 5 (Совхоз) 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57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0,9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40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1,658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2012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ДТВ  ОАО «РЖД»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57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0,61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40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1,23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/>
        <w:trPr/>
        <w:tc>
          <w:tcPr>
            <w:tcW w:w="2012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Электрокотельная ПС-500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57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0,55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40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1,12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</w:tbl>
    <w:p>
      <w:pPr>
        <w:ind w:firstLine="709"/>
        <w:jc w:val="both"/>
        <w:tabs>
          <w:tab w:val="left" w:pos="567" w:leader="none"/>
          <w:tab w:val="left" w:pos="1276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highlight w:val="none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left" w:pos="1276" w:leader="none"/>
          <w:tab w:val="right" w:pos="9923" w:leader="dot"/>
        </w:tabs>
        <w:rPr>
          <w:rFonts w:eastAsiaTheme="minorEastAsia"/>
          <w:highlight w:val="none"/>
        </w:rPr>
      </w:pPr>
      <w:r>
        <w:rPr>
          <w:rFonts w:eastAsiaTheme="minorEastAsia"/>
        </w:rPr>
        <w:t xml:space="preserve">Результат расчета радиусов эффективного теплоснабжения котельных Тайшетского городского поселения свидетельствует о том, что все потребители, находящиеся в зонах действия котельных, расположены в зонах своих эффективных радиусов теплоснабжения.  </w:t>
      </w:r>
      <w:r>
        <w:rPr>
          <w:rFonts w:eastAsiaTheme="minorEastAsia"/>
          <w:highlight w:val="none"/>
        </w:rPr>
      </w:r>
      <w:r>
        <w:rPr>
          <w:rFonts w:eastAsiaTheme="minorEastAsia"/>
          <w:highlight w:val="none"/>
        </w:rPr>
      </w:r>
    </w:p>
    <w:p>
      <w:pPr>
        <w:jc w:val="center"/>
        <w:tabs>
          <w:tab w:val="left" w:pos="567" w:leader="none"/>
          <w:tab w:val="left" w:pos="1276" w:leader="none"/>
          <w:tab w:val="right" w:pos="9923" w:leader="dot"/>
        </w:tabs>
        <w:rPr>
          <w:rFonts w:eastAsiaTheme="majorEastAsia"/>
          <w:bCs/>
          <w:caps/>
          <w:szCs w:val="26"/>
        </w:rPr>
      </w:pP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jc w:val="center"/>
        <w:tabs>
          <w:tab w:val="left" w:pos="567" w:leader="none"/>
          <w:tab w:val="left" w:pos="1276" w:leader="none"/>
          <w:tab w:val="right" w:pos="9923" w:leader="dot"/>
        </w:tabs>
        <w:rPr>
          <w:rFonts w:eastAsiaTheme="majorEastAsia"/>
          <w:bCs/>
          <w:caps/>
          <w:szCs w:val="26"/>
        </w:rPr>
      </w:pPr>
      <w:r>
        <w:rPr>
          <w:rFonts w:eastAsiaTheme="majorEastAsia"/>
          <w:bCs/>
          <w:caps/>
          <w:szCs w:val="26"/>
        </w:rPr>
        <w:t xml:space="preserve">ГЛАВА 8. ПРЕДЛОЖЕНИЯ ПО СТРОИТЕЛЬСТВУ, РЕКОНСТРУКЦИИ И МОДЕРНИЗАЦИИ ТЕПЛОВЫХ СЕТЕЙ</w:t>
      </w: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ind w:firstLine="709"/>
        <w:jc w:val="both"/>
        <w:tabs>
          <w:tab w:val="left" w:pos="567" w:leader="none"/>
          <w:tab w:val="left" w:pos="1276" w:leader="none"/>
          <w:tab w:val="right" w:pos="9923" w:leader="dot"/>
        </w:tabs>
        <w:rPr>
          <w:rFonts w:eastAsiaTheme="majorEastAsia"/>
          <w:bCs/>
        </w:rPr>
      </w:pPr>
      <w:r>
        <w:rPr>
          <w:rFonts w:eastAsiaTheme="majorEastAsia"/>
          <w:bCs/>
        </w:rPr>
        <w:t xml:space="preserve">8.1. Обоснование предложений по реконструкции и модернизации, строительству тепловых сетей, обеспечивающих перераспределение тепловой нагрузки из зон с дефицитом тепловой мощности в зоны с избытком тепловой мощности (использование существующих резервов)</w:t>
      </w:r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В связи с недостаточностью резервов мощности теплоисточников, прогнозируемые дефициты тепловой мощности необходимо покрывать за счет строительства новых и/или реконструкции существующих источников тепловой энергии.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В частности предлагается: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1. С целью обеспечения резервного теплоснабжения микрорайона Центральный в городе Тайшет, а также обеспечение технической возможности технологического присоединения вновь строящихся объектов ООО «РУСАЛ-Тайшет», строительство </w:t>
      </w:r>
      <w:r>
        <w:rPr>
          <w:rFonts w:eastAsiaTheme="minorEastAsia"/>
        </w:rPr>
        <w:t xml:space="preserve">блочно-модульной котельной на твердом топливе тепло производительностью от 12 Гкал/ч до 20 Гкал/ч в селе Старый Акульшет Тайшетского района;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2.Строительство котельной мощностью 56 Гкал/ч взамен отработавшей нормативный срок котельной № 2 (ШПЗ);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3. С целью обеспечения возможности подключения перспективных нагрузок котельной № 1 строительство блока водогрейных котлов мощностью 50 Гкал/ч.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Поэтому реконстр</w:t>
      </w:r>
      <w:r>
        <w:rPr>
          <w:rFonts w:eastAsiaTheme="minorEastAsia"/>
        </w:rPr>
        <w:t xml:space="preserve">укция, модернизация, строительство тепловых сетей, обеспечивающих перераспределение тепловой нагрузки из зон с дефицитом тепловой мощности в зоны с избытком тепловой мощности, на территории Тайшетского городского поселения на перспективу не прогнозируется.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  <w:highlight w:val="none"/>
        </w:rPr>
      </w:pPr>
      <w:r/>
      <w:bookmarkStart w:id="107" w:name="_Toc149055637"/>
      <w:r>
        <w:rPr>
          <w:rFonts w:eastAsiaTheme="majorEastAsia"/>
          <w:bCs/>
        </w:rPr>
        <w:t xml:space="preserve">8.2. Обоснование пре</w:t>
      </w:r>
      <w:r>
        <w:rPr>
          <w:rFonts w:eastAsiaTheme="majorEastAsia"/>
          <w:bCs/>
        </w:rPr>
        <w:t xml:space="preserve">дложений по строительству тепловых сетей для обеспечения перспективных приростов тепловой нагрузки под жилищную, комплексную или производственную застройку во вновь осваиваемых районах Тайшетского </w:t>
      </w:r>
      <w:r>
        <w:rPr>
          <w:rFonts w:eastAsiaTheme="majorEastAsia"/>
          <w:bCs/>
          <w:highlight w:val="none"/>
        </w:rPr>
        <w:t xml:space="preserve">муниципального образования «Тайшетское городское поселение»</w:t>
      </w:r>
      <w:bookmarkEnd w:id="107"/>
      <w:r>
        <w:rPr>
          <w:rFonts w:eastAsiaTheme="majorEastAsia"/>
          <w:bCs/>
          <w:highlight w:val="none"/>
        </w:rPr>
      </w:r>
      <w:r>
        <w:rPr>
          <w:rFonts w:eastAsiaTheme="majorEastAsia"/>
          <w:bCs/>
          <w:highlight w:val="none"/>
        </w:rPr>
      </w:r>
    </w:p>
    <w:p>
      <w:pPr>
        <w:ind w:firstLine="709"/>
        <w:jc w:val="both"/>
        <w:tabs>
          <w:tab w:val="left" w:pos="993" w:leader="none"/>
        </w:tabs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highlight w:val="none"/>
          <w:shd w:val="clear" w:color="auto" w:fill="ffffff"/>
        </w:rPr>
        <w:t xml:space="preserve">С </w:t>
      </w:r>
      <w:r>
        <w:rPr>
          <w:rFonts w:eastAsiaTheme="minorEastAsia"/>
          <w:highlight w:val="none"/>
          <w:shd w:val="clear" w:color="auto" w:fill="ffffff"/>
        </w:rPr>
        <w:t xml:space="preserve">2023 года по 2026 год планируется реализация мероприятия по </w:t>
      </w:r>
      <w:r>
        <w:rPr>
          <w:highlight w:val="none"/>
        </w:rPr>
        <w:t xml:space="preserve">строительству тепловых сетей котельной  №1 (ТКСИ) к проектируемым объектам</w:t>
      </w:r>
      <w:r>
        <w:rPr>
          <w:rFonts w:eastAsiaTheme="majorEastAsia"/>
          <w:bCs/>
          <w:highlight w:val="none"/>
        </w:rPr>
        <w:t xml:space="preserve"> во вновь осваиваемых районах</w:t>
      </w:r>
      <w:r>
        <w:rPr>
          <w:highlight w:val="none"/>
        </w:rPr>
        <w:t xml:space="preserve">. Так же с</w:t>
      </w:r>
      <w:r>
        <w:rPr>
          <w:rFonts w:eastAsiaTheme="minorEastAsia"/>
          <w:highlight w:val="none"/>
          <w:shd w:val="clear" w:color="auto" w:fill="ffffff"/>
        </w:rPr>
        <w:t xml:space="preserve"> 2022 года по 202</w:t>
      </w:r>
      <w:r>
        <w:rPr>
          <w:rFonts w:eastAsiaTheme="minorEastAsia"/>
          <w:highlight w:val="none"/>
          <w:shd w:val="clear" w:color="auto" w:fill="ffffff"/>
        </w:rPr>
        <w:t xml:space="preserve">4</w:t>
      </w:r>
      <w:r>
        <w:rPr>
          <w:rFonts w:eastAsiaTheme="minorEastAsia"/>
          <w:highlight w:val="none"/>
          <w:shd w:val="clear" w:color="auto" w:fill="ffffff"/>
        </w:rPr>
        <w:t xml:space="preserve"> год планируется реализация мероприятия по </w:t>
      </w:r>
      <w:r>
        <w:rPr>
          <w:highlight w:val="none"/>
        </w:rPr>
        <w:t xml:space="preserve">строительству тепловых сетей котельной №2 (ШПЗ) к проектируемым объектам. </w:t>
      </w:r>
      <w:r>
        <w:rPr>
          <w:rFonts w:eastAsiaTheme="minorEastAsia"/>
          <w:highlight w:val="none"/>
          <w:shd w:val="clear" w:color="auto" w:fill="ffffff"/>
        </w:rPr>
        <w:t xml:space="preserve">Внедрение указанных мероприятий позволит повысить эффективность функционирования упомянутых котельных.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ind w:firstLine="709"/>
        <w:jc w:val="both"/>
        <w:rPr>
          <w:rFonts w:eastAsiaTheme="minorEastAsia"/>
          <w:highlight w:val="none"/>
        </w:rPr>
      </w:pPr>
      <w:r>
        <w:rPr>
          <w:rFonts w:eastAsiaTheme="minorEastAsia"/>
          <w:highlight w:val="none"/>
        </w:rPr>
        <w:t xml:space="preserve">Строительство тепловых сетей для обеспечения перспективных приростов тепловой нагрузки под жилищную, комплексную или прои</w:t>
      </w:r>
      <w:r>
        <w:rPr>
          <w:rFonts w:eastAsiaTheme="minorEastAsia"/>
          <w:highlight w:val="none"/>
        </w:rPr>
        <w:t xml:space="preserve">зводственную застройку во вновь осваиваемых районах Тайшетского городского поселения на перспективу предусмотрены инвестиционной программой ОП «ТТС» АО «Байкалэнерго», данные мероприятия отражены в таблице 52 пункта 12.1 главы 12 Обосновывающих материалов.</w:t>
      </w:r>
      <w:r>
        <w:rPr>
          <w:rFonts w:eastAsiaTheme="minorEastAsia"/>
          <w:highlight w:val="none"/>
        </w:rPr>
      </w:r>
      <w:r>
        <w:rPr>
          <w:rFonts w:eastAsiaTheme="minorEastAsia"/>
          <w:highlight w:val="none"/>
        </w:rPr>
      </w:r>
    </w:p>
    <w:p>
      <w:pPr>
        <w:ind w:firstLine="709"/>
        <w:jc w:val="both"/>
        <w:rPr>
          <w:rFonts w:eastAsiaTheme="minorEastAsia"/>
          <w:highlight w:val="none"/>
          <w:shd w:val="clear" w:color="auto" w:fill="ffffff"/>
        </w:rPr>
      </w:pPr>
      <w:r>
        <w:rPr>
          <w:rFonts w:eastAsiaTheme="minorEastAsia"/>
          <w:highlight w:val="none"/>
        </w:rPr>
        <w:t xml:space="preserve">Теплоснабжение индивидуальной жилищной застройки планируется организовывать от индивидуальных источников тепловой энергии с использованием в качестве топлива угля, дров и электрической энергии.</w:t>
      </w: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EastAsia"/>
          <w:highlight w:val="none"/>
          <w:shd w:val="clear" w:color="auto" w:fill="ffffff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ajorEastAsia"/>
          <w:bCs/>
          <w:highlight w:val="none"/>
        </w:rPr>
        <w:t xml:space="preserve">8.3. Обоснование предложений по строительству тепловых сетей, обеспечивающих условия, при наличии которых существует возможность поставок тепловой энергии потребителям от различных источников тепловой энергии пр</w:t>
      </w:r>
      <w:r>
        <w:rPr>
          <w:rFonts w:eastAsiaTheme="majorEastAsia"/>
          <w:bCs/>
        </w:rPr>
        <w:t xml:space="preserve">и сохранении надежности теплоснабжения.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</w:rPr>
        <w:t xml:space="preserve">Наибольший резерв по теплоснабжению имеет котельная №1 (ТКСИ</w:t>
      </w:r>
      <w:r>
        <w:rPr>
          <w:rFonts w:eastAsiaTheme="minorEastAsia"/>
        </w:rPr>
        <w:t xml:space="preserve">) (после приведения располагаемой мощности котельной к установленной). Именно от этой котельной предполагается резервирование потребителей котельной №2 (ШПЗ), а также потребителей электрокотельной ДТВ ОАО «РЖД» в связи с их переводом на котельную №2 (ШПЗ).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rPr>
          <w:rFonts w:eastAsiaTheme="minorEastAsia"/>
          <w:shd w:val="clear" w:color="auto" w:fill="ffffff"/>
        </w:rPr>
      </w:pPr>
      <w:r>
        <w:rPr>
          <w:rFonts w:eastAsiaTheme="minorEastAsia"/>
        </w:rPr>
        <w:t xml:space="preserve">Для осуществл</w:t>
      </w:r>
      <w:r>
        <w:rPr>
          <w:rFonts w:eastAsiaTheme="minorEastAsia"/>
        </w:rPr>
        <w:t xml:space="preserve">ения резервирования необходимо строительство перемычки между зонами действия котельной №1 (ТКСИ) и котельной №2 (ШПЗ). Для этого необходимо выполнить мероприятия по объекту "Участок тепловой сети от ТК-9 до ТК-9-7, организация перемычки от ТК-9-7 до ТС-12»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rPr>
          <w:rFonts w:eastAsiaTheme="minorEastAsia"/>
        </w:rPr>
      </w:pPr>
      <w:r>
        <w:rPr>
          <w:rFonts w:eastAsiaTheme="minorEastAsia"/>
        </w:rPr>
        <w:t xml:space="preserve">Строительство тепловых сетей, обеспечивающих условия, при наличии которых существует возможность поставок тепловой энергии потребителя</w:t>
      </w:r>
      <w:r>
        <w:rPr>
          <w:rFonts w:eastAsiaTheme="minorEastAsia"/>
        </w:rPr>
        <w:t xml:space="preserve">м от различных источников тепловой энергии при сохранении надежности теплоснабжения на перспективу, предусмотрены инвестиционной программой ОП «ТТС» АО «Байкалэнерго», данные мероприятия отражены в таблице 52 пункта 12.1 главы 12 Обосновывающих материалов.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rPr>
          <w:rFonts w:eastAsiaTheme="majorEastAsia"/>
          <w:bCs/>
        </w:rPr>
      </w:pPr>
      <w:r>
        <w:rPr>
          <w:rFonts w:eastAsiaTheme="majorEastAsia"/>
          <w:bCs/>
        </w:rPr>
        <w:t xml:space="preserve">8.4. Обоснование предложений по строительству, реконструкции и модернизации тепловых сетей для повышения эффективности функционирования системы теплоснабжения, в том числе за счет перевода котельных в пиковый режим работы или ликвидации котельных</w:t>
      </w:r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rPr>
          <w:rFonts w:eastAsiaTheme="minorEastAsia"/>
          <w:spacing w:val="-1"/>
          <w:shd w:val="clear" w:color="auto" w:fill="ffffff"/>
          <w:lang w:eastAsia="en-US"/>
        </w:rPr>
      </w:pPr>
      <w:r>
        <w:rPr>
          <w:rFonts w:eastAsiaTheme="minorEastAsia"/>
          <w:spacing w:val="-1"/>
          <w:shd w:val="clear" w:color="auto" w:fill="ffffff"/>
          <w:lang w:eastAsia="en-US"/>
        </w:rPr>
        <w:t xml:space="preserve">Строительство, реконструкция, модернизация тепловых сетей для повышения </w:t>
      </w:r>
      <w:r>
        <w:rPr>
          <w:rFonts w:eastAsiaTheme="minorEastAsia"/>
          <w:spacing w:val="-1"/>
          <w:shd w:val="clear" w:color="auto" w:fill="ffffff"/>
          <w:lang w:eastAsia="en-US"/>
        </w:rPr>
        <w:t xml:space="preserve">эффективности функционирования систем теплоснабжения, в том числе, за счет перевода муниципальных котельных Тайшетского городского поселения в пиковый режим работы или ликвидации муниципальных котельных, на перспективу не прогнозируется.</w:t>
      </w:r>
      <w:r>
        <w:rPr>
          <w:rFonts w:eastAsiaTheme="minorEastAsia"/>
          <w:spacing w:val="-1"/>
          <w:shd w:val="clear" w:color="auto" w:fill="ffffff"/>
          <w:lang w:eastAsia="en-US"/>
        </w:rPr>
      </w:r>
      <w:r>
        <w:rPr>
          <w:rFonts w:eastAsiaTheme="minorEastAsia"/>
          <w:spacing w:val="-1"/>
          <w:shd w:val="clear" w:color="auto" w:fill="ffffff"/>
          <w:lang w:eastAsia="en-US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08" w:name="_Toc149055638"/>
      <w:r>
        <w:rPr>
          <w:rFonts w:eastAsiaTheme="majorEastAsia"/>
          <w:bCs/>
        </w:rPr>
        <w:t xml:space="preserve">8.5. Обоснование предложений по строительству тепловых сетей для обеспечения нормативной надежности теплоснабжения</w:t>
      </w:r>
      <w:bookmarkEnd w:id="108"/>
      <w:r>
        <w:rPr>
          <w:rFonts w:eastAsiaTheme="majorEastAsia"/>
          <w:bCs/>
        </w:rPr>
        <w:t xml:space="preserve">.</w:t>
      </w:r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0" w:leader="none"/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Строительство тепловых сетей в целях обеспечения нормативной надежности теплоснабжения на территории Тайшетского городского поселения на перспективу прогнозируется Схемой теплоснабжения.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09" w:name="_Toc149055639"/>
      <w:r>
        <w:rPr>
          <w:rFonts w:eastAsiaTheme="majorEastAsia"/>
          <w:bCs/>
        </w:rPr>
        <w:t xml:space="preserve">8.6. Обоснование предложений по реконструкции и модернизации тепловых сетей с увеличением диаметра трубопроводов для обеспечения перспективных приростов тепловой нагрузки</w:t>
      </w:r>
      <w:bookmarkEnd w:id="109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0" w:leader="none"/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Реконструкция и модернизация тепловых сетей Тайшетского городского поселен</w:t>
      </w:r>
      <w:r>
        <w:rPr>
          <w:rFonts w:eastAsiaTheme="minorEastAsia"/>
        </w:rPr>
        <w:t xml:space="preserve">ия, с увеличением диаметра трубопроводов, для обеспечения перспективных приростов тепловой нагрузки предусмотрены инвестиционной программой ОП «ТТС» АО «Байкалэнерго», данные мероприятия отражены в таблице 52 пункта 12.1 главы 12 Обосновывающих материалов.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10" w:name="_Toc149055640"/>
      <w:r>
        <w:rPr>
          <w:rFonts w:eastAsiaTheme="majorEastAsia"/>
          <w:bCs/>
        </w:rPr>
        <w:t xml:space="preserve">8.7. Обоснование предложений по реконструкции и модернизации тепловых сетей, подлежащих замене в связи с исчерпанием эксплуатационного ресурса</w:t>
      </w:r>
      <w:bookmarkEnd w:id="110"/>
      <w:r>
        <w:rPr>
          <w:rFonts w:eastAsiaTheme="majorEastAsia"/>
          <w:bCs/>
        </w:rPr>
        <w:t xml:space="preserve">.</w:t>
      </w:r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Проектом схемы теплоснабжения Тайшетского городского поселения, предполагается </w:t>
      </w:r>
      <w:r>
        <w:rPr>
          <w:rFonts w:eastAsiaTheme="minorEastAsia"/>
        </w:rPr>
        <w:t xml:space="preserve">замена ветхих участков тепловой сети в том числе: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1. Тепловые сети </w:t>
      </w:r>
      <w:r>
        <w:rPr>
          <w:rFonts w:eastAsiaTheme="minorHAnsi"/>
          <w:lang w:eastAsia="en-US"/>
        </w:rPr>
        <w:t xml:space="preserve">котельной №1 (ТКСИ) </w:t>
      </w:r>
      <w:r>
        <w:rPr>
          <w:rFonts w:eastAsiaTheme="minorEastAsia"/>
        </w:rPr>
        <w:t xml:space="preserve">введены в эксплуатацию в 1985 году. Износ тепловых сетей муниципальной котельной по состоянию на отчетный (базовый)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 составляет около 70 %.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2. Тепловые сети </w:t>
      </w:r>
      <w:r>
        <w:rPr>
          <w:rFonts w:eastAsiaTheme="minorHAnsi"/>
          <w:lang w:eastAsia="en-US"/>
        </w:rPr>
        <w:t xml:space="preserve">котельной №2 (ШПЗ) </w:t>
      </w:r>
      <w:r>
        <w:rPr>
          <w:rFonts w:eastAsiaTheme="minorEastAsia"/>
        </w:rPr>
        <w:t xml:space="preserve">введены в эксплуатацию в 1976 году. Износ тепловых сетей муниципальной котельной по состоянию на отчетный (базовый)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 составляет около 61,8 %.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3. Тепловые сети </w:t>
      </w:r>
      <w:r>
        <w:rPr>
          <w:rFonts w:eastAsiaTheme="minorHAnsi"/>
          <w:lang w:eastAsia="en-US"/>
        </w:rPr>
        <w:t xml:space="preserve">котельной №3 (Мелькомбинат) </w:t>
      </w:r>
      <w:r>
        <w:rPr>
          <w:rFonts w:eastAsiaTheme="minorEastAsia"/>
        </w:rPr>
        <w:t xml:space="preserve">введены в эксплуатацию в 1979 году. Износ тепловых сетей муниципальной котельной по состоянию на отчетный (базовый)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 составляет около 77,9 %.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4. Тепловые сети </w:t>
      </w:r>
      <w:r>
        <w:rPr>
          <w:rFonts w:eastAsiaTheme="minorHAnsi"/>
          <w:lang w:eastAsia="en-US"/>
        </w:rPr>
        <w:t xml:space="preserve">котельной №4 (Экспедиция 5)</w:t>
      </w:r>
      <w:r>
        <w:rPr>
          <w:rFonts w:eastAsiaTheme="minorEastAsia"/>
        </w:rPr>
        <w:t xml:space="preserve"> введены в эксплуатацию в 1989 году. Износ тепловых сетей муниципальной котельной по состоянию на отчетный (базовый)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 составляет около 62,2 %.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5. Тепловые сети </w:t>
      </w:r>
      <w:r>
        <w:rPr>
          <w:rFonts w:eastAsiaTheme="minorHAnsi"/>
          <w:lang w:eastAsia="en-US"/>
        </w:rPr>
        <w:t xml:space="preserve">котельной №5 (Совхоз) </w:t>
      </w:r>
      <w:r>
        <w:rPr>
          <w:rFonts w:eastAsiaTheme="minorEastAsia"/>
        </w:rPr>
        <w:t xml:space="preserve">введены в эксплуатацию в 1979 году. Износ тепловых сетей муниципальной котельной по состоянию на отчетный (базовый)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 составляет около 93,5 %.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Указанные тепловые сети находятся в ветхом состоянии, </w:t>
      </w:r>
      <w:r>
        <w:rPr>
          <w:rFonts w:eastAsiaTheme="minorEastAsia"/>
          <w:shd w:val="clear" w:color="auto" w:fill="ffffff"/>
        </w:rPr>
        <w:t xml:space="preserve">что может привести к возникновению аварий, микроповреждению трубопроводов, вследствие чего к образованию высоких потерь теплоносителя в тепловых сетях, передаваемой потребителям.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 целях недопущения описанной ситуации, повышения эффективности и уровня надежности функционирования системы теплоснабжения </w:t>
      </w:r>
      <w:r>
        <w:rPr>
          <w:rFonts w:eastAsiaTheme="minorHAnsi"/>
          <w:lang w:eastAsia="en-US"/>
        </w:rPr>
        <w:t xml:space="preserve">котельной</w:t>
      </w:r>
      <w:r>
        <w:rPr>
          <w:rFonts w:eastAsiaTheme="minorEastAsia"/>
          <w:shd w:val="clear" w:color="auto" w:fill="ffffff"/>
        </w:rPr>
        <w:t xml:space="preserve">, снижения потерь тепловой энергии при передаче тепловой энергии потребителям, оптимизации финансовых затрат на производство тепловой энергии планируется реализация следующих конкретных мероприятий: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EastAsia"/>
          <w:strike/>
        </w:rPr>
      </w:pPr>
      <w:r>
        <w:rPr>
          <w:rFonts w:eastAsiaTheme="minorEastAsia"/>
        </w:rPr>
        <w:t xml:space="preserve">1. </w:t>
      </w:r>
      <w:r>
        <w:rPr>
          <w:rFonts w:eastAsiaTheme="minorEastAsia"/>
          <w:strike/>
        </w:rPr>
        <w:t xml:space="preserve">2022-2023 годы – реконструкция тепловой сети котельной №2 по улице Транспортной от ТК-2 до ТК-3 (с ПИР);</w:t>
      </w:r>
      <w:r>
        <w:rPr>
          <w:rFonts w:eastAsiaTheme="minorEastAsia"/>
          <w:strike/>
        </w:rPr>
      </w:r>
      <w:r>
        <w:rPr>
          <w:rFonts w:eastAsiaTheme="minorEastAsia"/>
          <w:strike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EastAsia"/>
          <w:shd w:val="clear" w:color="auto" w:fill="ffffff"/>
        </w:rPr>
      </w:pPr>
      <w:r>
        <w:rPr>
          <w:rFonts w:eastAsiaTheme="minorEastAsia"/>
        </w:rPr>
        <w:t xml:space="preserve">2. 2024-2028 годы – техническое перевооружение тепловой сети котельной №2 от ТК3-4 до ТК3-12 по улице Терешковой (ТС-11) (с ПИР);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EastAsia"/>
          <w:shd w:val="clear" w:color="auto" w:fill="ffffff"/>
        </w:rPr>
      </w:pPr>
      <w:r>
        <w:rPr>
          <w:rFonts w:eastAsiaTheme="minorEastAsia"/>
        </w:rPr>
        <w:t xml:space="preserve">3. 2022-202</w:t>
      </w:r>
      <w:r>
        <w:rPr>
          <w:rFonts w:eastAsiaTheme="minorEastAsia"/>
        </w:rPr>
        <w:t xml:space="preserve">5</w:t>
      </w:r>
      <w:r>
        <w:rPr>
          <w:rFonts w:eastAsiaTheme="minorEastAsia"/>
        </w:rPr>
        <w:t xml:space="preserve"> годы – техническое перевооружение участка тепловой сети от вертикального компенсатора К-7 до К-10 по улице Индустриальной, (с ПИР);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EastAsia"/>
          <w:shd w:val="clear" w:color="auto" w:fill="ffffff"/>
        </w:rPr>
      </w:pPr>
      <w:r>
        <w:rPr>
          <w:rFonts w:eastAsiaTheme="minorEastAsia"/>
        </w:rPr>
        <w:t xml:space="preserve">4. 2022-2025 годы – техническое перевооружение участка тепловой сети от вертикального компенсатора К-12 до ТК-3 по улице Индустриальной, (с ПИР);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EastAsia"/>
          <w:shd w:val="clear" w:color="auto" w:fill="ffffff"/>
        </w:rPr>
      </w:pPr>
      <w:r>
        <w:rPr>
          <w:rFonts w:eastAsiaTheme="minorEastAsia"/>
        </w:rPr>
        <w:t xml:space="preserve">5. 2023-2025 годы – Техническое перевооружение участка тепловой сети от ТК-5-15 до ТК-5-24 по улице Зои Космодемьянской.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11" w:name="_Toc149055641"/>
      <w:r>
        <w:rPr>
          <w:rFonts w:eastAsiaTheme="majorEastAsia"/>
          <w:bCs/>
        </w:rPr>
        <w:t xml:space="preserve">8.8. Обоснование предложений по строительству, реконструкции и модернизации насосных станций</w:t>
      </w:r>
      <w:bookmarkEnd w:id="111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rPr>
          <w:rFonts w:eastAsiaTheme="minorEastAsia"/>
        </w:rPr>
      </w:pPr>
      <w:r>
        <w:rPr>
          <w:rFonts w:eastAsiaTheme="minorEastAsia"/>
        </w:rPr>
        <w:t xml:space="preserve">Обособленные насосные станции, участвующие в транспортировке тепловой энергии потребителям Тайшетского городского поселения, по состоянию на отчетный (базовый)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год, отсутствуют.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rPr>
          <w:rFonts w:eastAsiaTheme="minorEastAsia"/>
        </w:rPr>
      </w:pPr>
      <w:r>
        <w:rPr>
          <w:rFonts w:eastAsiaTheme="minorEastAsia"/>
        </w:rPr>
        <w:t xml:space="preserve">Насосное оборудование, участвующее в теплоснабжении потребителей тепловой энергии Тайшетского городского поселения, установлено непосредственно в зданиях муниципальных котельных.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rPr>
          <w:rFonts w:eastAsiaTheme="minorEastAsia"/>
        </w:rPr>
      </w:pPr>
      <w:r>
        <w:rPr>
          <w:rFonts w:eastAsiaTheme="minorEastAsia"/>
        </w:rPr>
        <w:t xml:space="preserve">Строительство, реконструкция и модернизация насосных станций на территории Тайшетского городского поселения на перспективу не прогнозируется.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widowControl w:val="off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</w:r>
      <w:r>
        <w:rPr>
          <w:rFonts w:eastAsiaTheme="minorEastAsia"/>
          <w:sz w:val="28"/>
          <w:szCs w:val="28"/>
        </w:rPr>
      </w:r>
      <w:r>
        <w:rPr>
          <w:rFonts w:eastAsiaTheme="minorEastAsia"/>
          <w:sz w:val="28"/>
          <w:szCs w:val="28"/>
        </w:rPr>
      </w:r>
    </w:p>
    <w:p>
      <w:pPr>
        <w:contextualSpacing/>
        <w:jc w:val="center"/>
        <w:keepLines/>
        <w:keepNext/>
        <w:widowControl w:val="off"/>
        <w:rPr>
          <w:rFonts w:eastAsiaTheme="majorEastAsia"/>
          <w:bCs/>
          <w:caps/>
          <w:szCs w:val="26"/>
        </w:rPr>
      </w:pPr>
      <w:r/>
      <w:bookmarkStart w:id="112" w:name="_Toc149055642"/>
      <w:r>
        <w:rPr>
          <w:rFonts w:eastAsiaTheme="majorEastAsia"/>
          <w:bCs/>
          <w:caps/>
          <w:szCs w:val="26"/>
        </w:rPr>
        <w:t xml:space="preserve">ГЛАВА 9. ПРЕДЛОЖЕНИЯ ПО ПЕРЕВОДУ ОТКРЫТЫХ СИСТЕМ ТЕПЛОСНАБЖЕНИЯ (ГОРЯЧЕГО ВОДОСНАБЖЕНИЯ) В ЗАКРЫТЫЕ СИСТЕМЫ ГОРЯЧЕГО ВОДОСНАБЖЕНИЯ</w:t>
      </w:r>
      <w:bookmarkEnd w:id="112"/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13" w:name="_Toc149055643"/>
      <w:r>
        <w:rPr>
          <w:rFonts w:eastAsiaTheme="majorEastAsia"/>
          <w:bCs/>
        </w:rPr>
        <w:t xml:space="preserve">9.1. Технико-экономическое об</w:t>
      </w:r>
      <w:r>
        <w:rPr>
          <w:rFonts w:eastAsiaTheme="majorEastAsia"/>
          <w:bCs/>
        </w:rPr>
        <w:t xml:space="preserve">основание предложений по типам присоединений теплопотребляющих установок потребителей к тепловым сетям, обеспечивающим перевод потребителей, подключенных к открытой системе теплоснабжения (горячего водоснабжения), на закрытую систему горячего водоснабжения</w:t>
      </w:r>
      <w:bookmarkEnd w:id="113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По состоянию на отчетный (базовый)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 муниципальные котельные Тайшетского городского поселения</w:t>
      </w:r>
      <w:r>
        <w:rPr>
          <w:rFonts w:eastAsiaTheme="minorHAnsi"/>
          <w:lang w:eastAsia="en-US"/>
        </w:rPr>
        <w:t xml:space="preserve"> функционируют по закрытым системам теплоснабжения, кроме котельной №1 </w:t>
      </w:r>
      <w:r>
        <w:t xml:space="preserve">(ТКСИ) </w:t>
      </w:r>
      <w:r>
        <w:rPr>
          <w:rFonts w:eastAsiaTheme="minorHAnsi"/>
          <w:lang w:eastAsia="en-US"/>
        </w:rPr>
        <w:t xml:space="preserve"> – система открытая.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</w:pPr>
      <w:r>
        <w:t xml:space="preserve">В зоне действия котельной №1 (ТКСИ) часть систем горячего водоснабжения абонентов присоединены к тепловым сетям по открытой схеме. Перечень таких потребителей приведен в Таблице 46.</w:t>
      </w:r>
      <w:r/>
    </w:p>
    <w:p>
      <w:pPr>
        <w:ind w:firstLine="709"/>
        <w:jc w:val="right"/>
      </w:pPr>
      <w:r>
        <w:t xml:space="preserve">Таблица 46</w:t>
      </w:r>
      <w:r/>
    </w:p>
    <w:p>
      <w:pPr>
        <w:jc w:val="center"/>
      </w:pPr>
      <w:r>
        <w:t xml:space="preserve">Перечень потребителей, системы горячего водоснабжения которых присоединены к тепловым сетям по открытой схеме.</w:t>
      </w:r>
      <w:r/>
    </w:p>
    <w:tbl>
      <w:tblPr>
        <w:tblW w:w="4814" w:type="pct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1E0" w:firstRow="1" w:lastRow="1" w:firstColumn="1" w:lastColumn="1" w:noHBand="0" w:noVBand="0"/>
      </w:tblPr>
      <w:tblGrid>
        <w:gridCol w:w="710"/>
        <w:gridCol w:w="3437"/>
        <w:gridCol w:w="4076"/>
        <w:gridCol w:w="991"/>
      </w:tblGrid>
      <w:tr>
        <w:tblPrEx/>
        <w:trPr>
          <w:trHeight w:val="284"/>
        </w:trPr>
        <w:tc>
          <w:tcPr>
            <w:shd w:val="clear" w:color="auto" w:fill="auto"/>
            <w:tcW w:w="385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п/п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Наименование абонента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2750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Адрес абонента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84"/>
        </w:trPr>
        <w:tc>
          <w:tcPr>
            <w:shd w:val="clear" w:color="auto" w:fill="auto"/>
            <w:tcW w:w="385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Название микрорайона (улицы)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Номер дома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улица Автозаводская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Мясникова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Мясникова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Мясникова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Мясникова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Мясникова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Мясникова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Новый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Новый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Новый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Новый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Новый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Новый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Новый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Новый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Новый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Новый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Новый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Новый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Новый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Новый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19/1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Новый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19/2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Новый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19/3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 Пахотищева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 Пахотищева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 Пахотищева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 Пахотищева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 Пахотищева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 Пахотищева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 Пахотищева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 Пахотищева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 Пахотищева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 Пахотищева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 Пахотищева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 Пахотищева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 Пахотищева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 Пахотищева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 Пахотищева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 Пахотищева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 Пахотищева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 Пахотищева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Многоквартирный дом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 Пахотищева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МКОУ СОШ № 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Новый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МБУК «МРДК «Юбилейный»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улица </w:t>
            </w:r>
            <w:r>
              <w:rPr>
                <w:sz w:val="22"/>
                <w:szCs w:val="22"/>
              </w:rPr>
              <w:t xml:space="preserve">Мира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МКДОУ «Белочка»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ind w:left="-109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м-н им Мясникова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МКДОУ детский сад  "Рябинка"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улица Полевая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84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Детская поликлиника ОГБУЗ «Тайшетская РБ»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м-н. Новый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84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Психоневрологическое отделение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ОГБУЗ Тайшетской РБ 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улица Юбилейная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84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МКДОУ детский сад "Сказка"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Новый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84"/>
        </w:trPr>
        <w:tc>
          <w:tcPr>
            <w:shd w:val="clear" w:color="auto" w:fill="auto"/>
            <w:tcW w:w="385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865" w:type="pct"/>
            <w:vAlign w:val="center"/>
            <w:textDirection w:val="lrTb"/>
            <w:noWrap w:val="false"/>
          </w:tcPr>
          <w:p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МКДОУ детский сад  "Рябинка"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2212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м-н  Пахотищева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38" w:type="pct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ind w:firstLine="709"/>
        <w:jc w:val="both"/>
      </w:pPr>
      <w:r>
        <w:rPr>
          <w:rFonts w:eastAsiaTheme="minorHAnsi"/>
          <w:highlight w:val="none"/>
          <w:lang w:eastAsia="en-US"/>
        </w:rPr>
      </w:r>
      <w:r>
        <w:rPr>
          <w:rFonts w:eastAsiaTheme="minorHAnsi"/>
          <w:highlight w:val="none"/>
          <w:lang w:eastAsia="en-US"/>
        </w:rPr>
      </w:r>
      <w:r/>
    </w:p>
    <w:p>
      <w:pPr>
        <w:ind w:firstLine="709"/>
        <w:jc w:val="both"/>
        <w:rPr>
          <w:rFonts w:eastAsiaTheme="minorHAnsi"/>
          <w:highlight w:val="none"/>
          <w:lang w:eastAsia="en-US"/>
        </w:rPr>
      </w:pPr>
      <w:r>
        <w:t xml:space="preserve">Предлагается при сохранении существующей схемы присоединения систем отопления абонентов осуществлять подачу горячей воды через водо-водяные подогреватели пластинчатого типа. </w:t>
      </w:r>
      <w:r>
        <w:rPr>
          <w:rFonts w:eastAsiaTheme="minorHAnsi"/>
          <w:lang w:eastAsia="en-US"/>
        </w:rPr>
        <w:t xml:space="preserve">Конструкция пластинчатых теплообменников основана на модульном пр</w:t>
      </w:r>
      <w:r>
        <w:rPr>
          <w:rFonts w:eastAsiaTheme="minorHAnsi"/>
          <w:lang w:eastAsia="en-US"/>
        </w:rPr>
        <w:t xml:space="preserve">инципе. Рамы, пластины и присоединения могут быть объединены, образуя несколько различных типов теплообменников. Путем использования нескольких типов пластин, с несходными характеристиками, можно создавать теплообменники, пригодные для выполнения широкого </w:t>
      </w:r>
      <w:r>
        <w:rPr>
          <w:rFonts w:eastAsiaTheme="minorHAnsi"/>
          <w:lang w:eastAsia="en-US"/>
        </w:rPr>
        <w:t xml:space="preserve">диапазона задач. Дополнительным достоинством разборных пластинчатых теплообменников является возможность увеличения или уменьшения количества пластин или их адаптация для максимальной оптимизации параметров теплообменника, в случае изменения режима работы.</w:t>
      </w:r>
      <w:r>
        <w:rPr>
          <w:rFonts w:eastAsiaTheme="minorHAnsi"/>
          <w:highlight w:val="none"/>
          <w:lang w:eastAsia="en-US"/>
        </w:rPr>
      </w:r>
      <w:r>
        <w:rPr>
          <w:rFonts w:eastAsiaTheme="minorHAnsi"/>
          <w:highlight w:val="none"/>
          <w:lang w:eastAsia="en-US"/>
        </w:rPr>
      </w:r>
    </w:p>
    <w:p>
      <w:pPr>
        <w:ind w:firstLine="709"/>
        <w:jc w:val="both"/>
        <w:rPr>
          <w:rFonts w:asciiTheme="minorHAnsi" w:hAnsiTheme="minorHAnsi" w:eastAsiaTheme="minorHAnsi" w:cstheme="minorBidi"/>
          <w:lang w:eastAsia="en-US"/>
        </w:rPr>
      </w:pPr>
      <w:r>
        <w:rPr>
          <w:rFonts w:eastAsiaTheme="minorEastAsia"/>
        </w:rPr>
        <w:t xml:space="preserve">Учитывая то, что с 1 января 2022 года вступил в силу Федеральный закон Российской Федерации от 30 декабря 2021 года №438-ФЗ «О внесении изменений в Федеральный закон «О теплоснабжении», которым </w:t>
      </w:r>
      <w:r>
        <w:t xml:space="preserve">с 1 января 2022 года </w:t>
      </w:r>
      <w:r>
        <w:rPr>
          <w:rFonts w:eastAsiaTheme="minorHAnsi"/>
          <w:lang w:eastAsia="en-US"/>
        </w:rPr>
        <w:t xml:space="preserve">отменяется обязательное переоборудование открытых систем горячего водоснабжения в закрытые, </w:t>
      </w:r>
      <w:r>
        <w:rPr>
          <w:rFonts w:eastAsiaTheme="minorEastAsia"/>
        </w:rPr>
        <w:t xml:space="preserve">решения по возможному переходу на закрытую систему теплоснабжения (горячего </w:t>
      </w:r>
      <w:r>
        <w:rPr>
          <w:rFonts w:eastAsiaTheme="minorEastAsia"/>
        </w:rPr>
        <w:t xml:space="preserve">водоснабжения) для потребителей города Тайшет подлежат разработке и оценке, возможно при выполнении следующих актуализаций схемы теплоснабжения.</w:t>
      </w:r>
      <w:r>
        <w:rPr>
          <w:rFonts w:asciiTheme="minorHAnsi" w:hAnsiTheme="minorHAnsi" w:eastAsiaTheme="minorHAnsi" w:cstheme="minorBidi"/>
          <w:lang w:eastAsia="en-US"/>
        </w:rPr>
      </w:r>
      <w:r>
        <w:rPr>
          <w:rFonts w:asciiTheme="minorHAnsi" w:hAnsiTheme="minorHAnsi" w:eastAsiaTheme="minorHAnsi" w:cstheme="minorBidi"/>
          <w:lang w:eastAsia="en-US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14" w:name="_Toc149055644"/>
      <w:r>
        <w:rPr>
          <w:rFonts w:eastAsiaTheme="majorEastAsia"/>
          <w:bCs/>
        </w:rPr>
        <w:t xml:space="preserve">9.2. Выбор и обоснование метода регулирования отпуска тепловой энергии от источников тепловой энергии</w:t>
      </w:r>
      <w:bookmarkEnd w:id="114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Регулирование отпуска тепловой энергии от источников тепловой энергии осуществляется качественным, количественным методами и качественно-количественным методом.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При применении качественного метода регулирования отпуска тепловой энергии от источников тепловой энергии изменяется</w:t>
      </w:r>
      <w:r>
        <w:rPr>
          <w:rFonts w:eastAsiaTheme="minorEastAsia"/>
        </w:rPr>
        <w:t xml:space="preserve"> температура воды, подаваемой в тепловую есть, при неизменном расходе теплоносителя.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При применении количественного метода регулирования отпуска тепловой энергии от источников тепловой энергии изменяется расход теплоносителя при неизменной температуре.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При применении качественно-количественного метода регулирования отпуска тепловой энергии </w:t>
      </w:r>
      <w:r>
        <w:rPr>
          <w:rFonts w:eastAsiaTheme="minorEastAsia"/>
        </w:rPr>
        <w:t xml:space="preserve">от источников тепловой энергии одновременно изменяется температура и расход теплоносителя.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Регулирование отпуска тепловой энергии от муниципальных котельных Тайшетского городского поселения потребителям тепловой энергии по состоянию на отчетный (базовый)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 осуществляется посредством применения качественного метода. При применении качественного метода отпуска тепловой энергии от муниципальных котельных тепловые сети в меньшей степени подвержены разрегулировке вследствие постоянного расхода сетевой воды.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15" w:name="_Toc149055645"/>
      <w:r>
        <w:rPr>
          <w:rFonts w:eastAsiaTheme="majorEastAsia"/>
          <w:bCs/>
        </w:rPr>
        <w:t xml:space="preserve">9.3. Предложения по реконструкции тепловых сетей для обеспечения передачи тепловой энергии при переходе от открытой системы теплоснабжения (горячего водоснабжения) к закрытой системе горячего водоснабжения</w:t>
      </w:r>
      <w:bookmarkEnd w:id="115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rPr>
          <w:rFonts w:eastAsiaTheme="minorEastAsia"/>
        </w:rPr>
      </w:pPr>
      <w:r>
        <w:rPr>
          <w:rFonts w:eastAsiaTheme="minorEastAsia"/>
        </w:rPr>
        <w:t xml:space="preserve">Реконструкция те</w:t>
      </w:r>
      <w:r>
        <w:rPr>
          <w:rFonts w:eastAsiaTheme="minorEastAsia"/>
        </w:rPr>
        <w:t xml:space="preserve">пловых сетей Тайшетского городского поселения для обеспечения передачи тепловой энергии при переходе от открытых систем теплоснабжения (горячего водоснабжения) к закрытым системам горячего водоснабжения, по результатам гидравлического расчета не требуется.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16" w:name="_Toc149055646"/>
      <w:r>
        <w:rPr>
          <w:rFonts w:eastAsiaTheme="majorEastAsia"/>
          <w:bCs/>
        </w:rPr>
        <w:t xml:space="preserve">9.4. Расчет потребности инвестиций для перевода открытой системы теплоснабжения (горячего водоснабжения) в закрытую систему горячего водоснабжения</w:t>
      </w:r>
      <w:bookmarkEnd w:id="116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Вложение инвестиций для перевода открытых систем теплоснабжения (горячего водоснабжения) на муниципальных котельных Тайшетского городского поселения в закрытые системы горячего водоснабжения на перспективу не прогнозируется.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Расчет потребности инвестиций для перевода открытой системы теплоснабжения</w:t>
      </w:r>
      <w:r>
        <w:rPr>
          <w:rFonts w:eastAsiaTheme="minorHAnsi"/>
          <w:lang w:eastAsia="en-US"/>
        </w:rPr>
        <w:br/>
        <w:t xml:space="preserve">(горячего водоснабжения) в закрытую систему горячего во</w:t>
      </w:r>
      <w:r>
        <w:rPr>
          <w:rFonts w:eastAsiaTheme="minorHAnsi"/>
          <w:lang w:eastAsia="en-US"/>
        </w:rPr>
        <w:t xml:space="preserve">доснабжения  в многоквартирных домках  может быть осуществлен по результатам комплексного технико-экономического сравнения вариантов реализации перехода на закрытую схему ГВС с учетом капитальных и операционных затрат в сфере водоснабжения и водоотведения.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настоящее время схема водоснабжения и водоотведения Тайшетского городс</w:t>
      </w:r>
      <w:r>
        <w:rPr>
          <w:rFonts w:eastAsiaTheme="minorHAnsi"/>
          <w:lang w:eastAsia="en-US"/>
        </w:rPr>
        <w:t xml:space="preserve">кого поселения находится в стадии разработки. Таким образом, определить объем необходимых инвестиций для перевода потребителей с открытой системы теплоснабжения (горячего водоснабжения) в закрытую систему горячего водоснабжения не представляется возможным.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EastAsia"/>
        </w:rPr>
        <w:t xml:space="preserve">Расчет инвестиций </w:t>
      </w:r>
      <w:r>
        <w:rPr>
          <w:rFonts w:eastAsiaTheme="minorHAnsi"/>
          <w:lang w:eastAsia="en-US"/>
        </w:rPr>
        <w:t xml:space="preserve">для перевода потребителей с открытой системы теплоснабжения (горячего водоснабжения) в закрытую систему горячего водоснабжения необходимо выполнить</w:t>
      </w:r>
      <w:r>
        <w:rPr>
          <w:rFonts w:eastAsiaTheme="minorEastAsia"/>
        </w:rPr>
        <w:t xml:space="preserve"> при ежегодной актуализации схемы теплоснабжения.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17" w:name="_Toc149055647"/>
      <w:r>
        <w:rPr>
          <w:rFonts w:eastAsiaTheme="majorEastAsia"/>
          <w:bCs/>
        </w:rPr>
        <w:t xml:space="preserve">9.5. Оценка целевых показателей эффективности и качества теплоснабжения в открытой системе теплоснабжения (горячего водоснабжения) и закрытой системе горячего водоснабжения</w:t>
      </w:r>
      <w:bookmarkEnd w:id="117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rPr>
          <w:rFonts w:eastAsiaTheme="minorEastAsia"/>
        </w:rPr>
      </w:pPr>
      <w:r>
        <w:rPr>
          <w:rFonts w:eastAsiaTheme="minorEastAsia"/>
        </w:rPr>
        <w:t xml:space="preserve">Недостатками открытой системы теплоснабжения являются: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EastAsia"/>
        </w:rPr>
      </w:pPr>
      <w:r>
        <w:rPr>
          <w:rFonts w:eastAsiaTheme="minorEastAsia"/>
        </w:rPr>
        <w:t xml:space="preserve">повышенные расходы тепловой энергии на отопление и горячее водоснабжение;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EastAsia"/>
        </w:rPr>
      </w:pPr>
      <w:r>
        <w:rPr>
          <w:rFonts w:eastAsiaTheme="minorEastAsia"/>
        </w:rPr>
        <w:t xml:space="preserve">высокие удельные расходы основного топлива и электрической энергии на выработку тепловой энергии муниципальной котельной;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EastAsia"/>
        </w:rPr>
      </w:pPr>
      <w:r>
        <w:rPr>
          <w:rFonts w:eastAsiaTheme="minorEastAsia"/>
        </w:rPr>
        <w:t xml:space="preserve">повышенные финансовые затраты на эксплуатацию муниципальной котельной и тепловых сетей муниципальной котельной;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EastAsia"/>
        </w:rPr>
      </w:pPr>
      <w:r>
        <w:rPr>
          <w:rFonts w:eastAsiaTheme="minorEastAsia"/>
        </w:rPr>
        <w:t xml:space="preserve">отсутствие качественного теплоснабжения потребителей из-за значительных потерь тепловой энергии и количества повреждений на тепловых сетях муниципальной котельной;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EastAsia"/>
        </w:rPr>
      </w:pPr>
      <w:r>
        <w:rPr>
          <w:rFonts w:eastAsiaTheme="minorEastAsia"/>
        </w:rPr>
        <w:t xml:space="preserve">повышенные финансовые затраты на химическую подготовку воды;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EastAsia"/>
        </w:rPr>
      </w:pPr>
      <w:r>
        <w:rPr>
          <w:rFonts w:eastAsiaTheme="minorEastAsia"/>
        </w:rPr>
        <w:t xml:space="preserve">остывание теплоносителя в тепловых сетях муниципальной котельной при небольшом разборе потребителями тепловой энергии.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rPr>
          <w:rFonts w:eastAsiaTheme="minorEastAsia"/>
        </w:rPr>
      </w:pPr>
      <w:r>
        <w:rPr>
          <w:rFonts w:eastAsiaTheme="minorEastAsia"/>
        </w:rPr>
        <w:t xml:space="preserve">Преимуществами открытой системы теплоснабжения являются высокое качество горячего водоснабжения, живучесть открытой системы теплоснабжения. </w:t>
      </w:r>
      <w:r>
        <w:rPr>
          <w:rFonts w:eastAsiaTheme="minorEastAsia"/>
        </w:rPr>
        <w:t xml:space="preserve">Живучесть открытой системы теплоснабжения проявляется в следующем: в случае повреждений трубопроводов тепловых сетей полная остановка циркуляции не происходит, потребители тепловой энергии длительное время удерживаются на затухающей системе теплоснабжения.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Гидравлическая взаимосвяз</w:t>
      </w:r>
      <w:r>
        <w:rPr>
          <w:rFonts w:eastAsiaTheme="minorHAnsi"/>
          <w:lang w:eastAsia="en-US"/>
        </w:rPr>
        <w:t xml:space="preserve">ь отдельных элементов открытой системы теплоснабжения и открытого водоразбора с течением времени приводит к разрегулировке гидравлического режима работы открытой системы теплоснабжения вследствие сливов теплоносителя со стороны потребителей тепловой энерги</w:t>
      </w:r>
      <w:r>
        <w:rPr>
          <w:rFonts w:eastAsiaTheme="minorHAnsi"/>
          <w:lang w:eastAsia="en-US"/>
        </w:rPr>
        <w:t xml:space="preserve">и. Таким образом, оказывается негативное влияние на качество, стабильность теплоснабжения, снижается эффективность работы муниципальных котельных, снижается комфортность жилья для потребителей тепловой энергии при одновременном повышении финансовых затрат.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EastAsia"/>
        </w:rPr>
      </w:pPr>
      <w:r>
        <w:rPr>
          <w:rFonts w:eastAsiaTheme="minorHAnsi"/>
          <w:lang w:eastAsia="en-US"/>
        </w:rPr>
        <w:t xml:space="preserve">Закрытая схема теплоснабжения представляет собой преобразование прямого присоединения контура отопления зданий потребителей те</w:t>
      </w:r>
      <w:r>
        <w:rPr>
          <w:rFonts w:eastAsiaTheme="minorHAnsi"/>
          <w:lang w:eastAsia="en-US"/>
        </w:rPr>
        <w:t xml:space="preserve">пловой энергии с помощью эжектора в гидравлически разделенное независимое присоединение посредством пластинчатого или кожухотрубного теплообменника и электрического насоса контура отопления зданий потребителей тепловой энергии. Теплообменник горячего водос</w:t>
      </w:r>
      <w:r>
        <w:rPr>
          <w:rFonts w:eastAsiaTheme="minorHAnsi"/>
          <w:lang w:eastAsia="en-US"/>
        </w:rPr>
        <w:t xml:space="preserve">набжения использует обратную сетевую воду отопления в целях большего понижения температуры обратной сетевой воды систем теплоснабжения. Таким образом, температура горячего водоснабжения точно контролируется и поддерживается на постоянном уровне, равным 55 </w:t>
      </w:r>
      <w:r>
        <w:rPr>
          <w:rFonts w:eastAsiaTheme="minorEastAsia"/>
        </w:rPr>
        <w:t xml:space="preserve">°С</w:t>
      </w:r>
      <w:r>
        <w:rPr>
          <w:rFonts w:eastAsiaTheme="minorHAnsi"/>
          <w:lang w:eastAsia="en-US"/>
        </w:rPr>
        <w:t xml:space="preserve">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Для перехода от открытой системы теплоснабжения к закрытой системе горячего водоснабжения инвестиции на котельных и тепловых сетях Тайшетского городского поселения не требуются.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18" w:name="_Toc149055648"/>
      <w:r>
        <w:rPr>
          <w:rFonts w:eastAsiaTheme="majorEastAsia"/>
          <w:bCs/>
        </w:rPr>
        <w:t xml:space="preserve">9.6. Предложения по источникам инвестиций</w:t>
      </w:r>
      <w:bookmarkEnd w:id="118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Все мероприятия по переводу на закрытую систему ГВС предполагают выполнить путем установки в многоквартирных домах и иных объектах теплообменников пластинчатого типа, в связи с чем, планируемые мероприятия будут реализованы по источникам финансирования: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1. Многоквартирные жилые дома – за счет программ капитального (текущего) ремонта, за счет средств собственников помещений в доме.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2. Потребители бюджетной сферы – за счет бюджетов соответствующих уровней (федеральный, областной, муниципальный).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3. Остальные потребители – хозяйствующие субъекты за счет собственных средств.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rPr>
          <w:rFonts w:asciiTheme="minorHAnsi" w:hAnsiTheme="minorHAnsi" w:eastAsiaTheme="minorHAnsi" w:cstheme="minorBidi"/>
          <w:sz w:val="22"/>
          <w:szCs w:val="22"/>
          <w:lang w:eastAsia="en-US"/>
        </w:rPr>
      </w:pPr>
      <w:r>
        <w:rPr>
          <w:rFonts w:eastAsiaTheme="minorEastAsia"/>
        </w:rPr>
        <w:t xml:space="preserve">Учитывая то, что с 1 января 2022 года вступил в силу Федеральный закон Российской Федерации от 30 декабря 2021 года №438-ФЗ «О внесении изменений в Федеральный закон «О теплоснабжении», которым </w:t>
      </w:r>
      <w:r>
        <w:t xml:space="preserve">с 1 января 2022 года </w:t>
      </w:r>
      <w:r>
        <w:rPr>
          <w:rFonts w:eastAsiaTheme="minorHAnsi"/>
          <w:lang w:eastAsia="en-US"/>
        </w:rPr>
        <w:t xml:space="preserve">отменяется обязательное переоборудование открытых систем горячего водоснабжения в закрытые, </w:t>
      </w:r>
      <w:r>
        <w:rPr>
          <w:rFonts w:eastAsiaTheme="minorEastAsia"/>
        </w:rPr>
        <w:t xml:space="preserve">решения по возможному переходу на закрытую систему теплоснабжения (горячего </w:t>
      </w:r>
      <w:r>
        <w:rPr>
          <w:rFonts w:eastAsiaTheme="minorEastAsia"/>
        </w:rPr>
        <w:t xml:space="preserve">водоснабжения) для потребителей города Тайшет подлежат разработке и оценке, возможно при выполнении следующих актуализаций схемы теплоснабжения.</w:t>
      </w:r>
      <w:r>
        <w:rPr>
          <w:rFonts w:asciiTheme="minorHAnsi" w:hAnsiTheme="minorHAnsi" w:eastAsiaTheme="minorHAnsi" w:cstheme="minorBidi"/>
          <w:sz w:val="22"/>
          <w:szCs w:val="22"/>
          <w:lang w:eastAsia="en-US"/>
        </w:rPr>
      </w:r>
      <w:r>
        <w:rPr>
          <w:rFonts w:asciiTheme="minorHAnsi" w:hAnsiTheme="minorHAnsi" w:eastAsiaTheme="minorHAnsi" w:cstheme="minorBidi"/>
          <w:sz w:val="22"/>
          <w:szCs w:val="22"/>
          <w:lang w:eastAsia="en-US"/>
        </w:rPr>
      </w:r>
    </w:p>
    <w:p>
      <w:pPr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contextualSpacing/>
        <w:jc w:val="center"/>
        <w:keepLines/>
        <w:keepNext/>
        <w:widowControl w:val="off"/>
        <w:rPr>
          <w:rFonts w:eastAsiaTheme="majorEastAsia"/>
          <w:bCs/>
          <w:caps/>
          <w:szCs w:val="26"/>
        </w:rPr>
      </w:pPr>
      <w:r/>
      <w:bookmarkStart w:id="119" w:name="_Toc149055649"/>
      <w:r>
        <w:rPr>
          <w:rFonts w:eastAsiaTheme="majorEastAsia"/>
          <w:bCs/>
          <w:caps/>
          <w:szCs w:val="26"/>
        </w:rPr>
        <w:t xml:space="preserve">ГЛАВА 10. ПЕРСПЕКТИВНЫЕ ТОПЛИВНЫЕ БАЛАНСЫ</w:t>
      </w:r>
      <w:bookmarkEnd w:id="119"/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20" w:name="_Toc149055650"/>
      <w:r>
        <w:rPr>
          <w:rFonts w:eastAsiaTheme="majorEastAsia"/>
          <w:bCs/>
        </w:rPr>
        <w:t xml:space="preserve">10.1. Расчеты по каждому источнику тепловой энергии перспективных максимальны</w:t>
      </w:r>
      <w:r>
        <w:rPr>
          <w:rFonts w:eastAsiaTheme="majorEastAsia"/>
          <w:bCs/>
        </w:rPr>
        <w:t xml:space="preserve">х часовых и годовых расходов основного вида топлива для зимнего и летнего периодов, необходимого для обеспечения нормативного функционирования источников тепловой энергии на территории Тайшетского муниципального образования «Тайшетское городское поселение»</w:t>
      </w:r>
      <w:bookmarkEnd w:id="120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851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Муниципальные котельные Тайшетского городского поселения в процессе своей эксплуатации в качестве основного топлива используют </w:t>
      </w:r>
      <w:r>
        <w:rPr>
          <w:rFonts w:eastAsiaTheme="minorEastAsia"/>
          <w:shd w:val="clear" w:color="auto" w:fill="ffffff"/>
        </w:rPr>
        <w:t xml:space="preserve">уголь бурый марки Б Канско-Ачинского, Ирбейского разреза</w:t>
      </w:r>
      <w:r>
        <w:rPr>
          <w:rFonts w:eastAsiaTheme="minorEastAsia"/>
        </w:rPr>
        <w:t xml:space="preserve">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851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Расчеты по муниципальным котельным Тайшетского городского поселения перспективных максимальных часовых и годовых расходов </w:t>
      </w:r>
      <w:r>
        <w:rPr>
          <w:rFonts w:eastAsiaTheme="minorEastAsia"/>
          <w:shd w:val="clear" w:color="auto" w:fill="ffffff"/>
        </w:rPr>
        <w:t xml:space="preserve">угля бурого марки Б Канско-Ачинского, Ирбейского разреза </w:t>
      </w:r>
      <w:r>
        <w:rPr>
          <w:rFonts w:eastAsiaTheme="minorEastAsia"/>
        </w:rPr>
        <w:t xml:space="preserve">для зимнего и летнего периодов, необходимых для обеспечения нормативного функционирования муниципальных котельных, представлены в Таблице 47.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right"/>
        <w:tabs>
          <w:tab w:val="left" w:pos="851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EastAsia"/>
          <w:color w:val="auto"/>
        </w:rPr>
        <w:t xml:space="preserve">Таблица 47</w:t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p>
      <w:pPr>
        <w:jc w:val="center"/>
        <w:tabs>
          <w:tab w:val="left" w:pos="851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EastAsia"/>
          <w:color w:val="auto"/>
        </w:rPr>
        <w:t xml:space="preserve">Расчеты по муниципальным котельным Тайшетского городского поселения </w:t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p>
      <w:pPr>
        <w:jc w:val="center"/>
        <w:tabs>
          <w:tab w:val="left" w:pos="851" w:leader="none"/>
          <w:tab w:val="right" w:pos="9923" w:leader="dot"/>
        </w:tabs>
        <w:rPr>
          <w:rFonts w:eastAsiaTheme="minorEastAsia"/>
          <w:color w:val="auto"/>
          <w:shd w:val="clear" w:color="auto" w:fill="ffffff"/>
        </w:rPr>
      </w:pPr>
      <w:r>
        <w:rPr>
          <w:rFonts w:eastAsiaTheme="minorEastAsia"/>
          <w:color w:val="auto"/>
        </w:rPr>
        <w:t xml:space="preserve">перспективных максимальных часовых и годовых расходов </w:t>
      </w:r>
      <w:r>
        <w:rPr>
          <w:rFonts w:eastAsiaTheme="minorEastAsia"/>
          <w:color w:val="auto"/>
          <w:shd w:val="clear" w:color="auto" w:fill="ffffff"/>
        </w:rPr>
        <w:t xml:space="preserve">угля бурого </w:t>
      </w:r>
      <w:r>
        <w:rPr>
          <w:rFonts w:eastAsiaTheme="minorEastAsia"/>
          <w:color w:val="auto"/>
          <w:shd w:val="clear" w:color="auto" w:fill="ffffff"/>
        </w:rPr>
      </w:r>
      <w:r>
        <w:rPr>
          <w:rFonts w:eastAsiaTheme="minorEastAsia"/>
          <w:color w:val="auto"/>
          <w:shd w:val="clear" w:color="auto" w:fill="ffffff"/>
        </w:rPr>
      </w:r>
    </w:p>
    <w:p>
      <w:pPr>
        <w:jc w:val="center"/>
        <w:tabs>
          <w:tab w:val="left" w:pos="851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EastAsia"/>
          <w:color w:val="auto"/>
        </w:rPr>
        <w:t xml:space="preserve">для зимнего и летнего периодов</w:t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tbl>
      <w:tblPr>
        <w:tblW w:w="10554" w:type="dxa"/>
        <w:tblInd w:w="-318" w:type="dxa"/>
        <w:tblLook w:val="04A0" w:firstRow="1" w:lastRow="0" w:firstColumn="1" w:lastColumn="0" w:noHBand="0" w:noVBand="1"/>
      </w:tblPr>
      <w:tblGrid>
        <w:gridCol w:w="970"/>
        <w:gridCol w:w="1355"/>
        <w:gridCol w:w="815"/>
        <w:gridCol w:w="774"/>
        <w:gridCol w:w="774"/>
        <w:gridCol w:w="774"/>
        <w:gridCol w:w="774"/>
        <w:gridCol w:w="774"/>
        <w:gridCol w:w="886"/>
        <w:gridCol w:w="886"/>
        <w:gridCol w:w="886"/>
        <w:gridCol w:w="886"/>
      </w:tblGrid>
      <w:tr>
        <w:tblPrEx/>
        <w:trPr>
          <w:trHeight w:val="570"/>
          <w:tblHeader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70" w:type="dxa"/>
            <w:vAlign w:val="center"/>
            <w:vMerge w:val="restart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Вид расхода топлива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5" w:type="dxa"/>
            <w:vAlign w:val="center"/>
            <w:vMerge w:val="restart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Период расхода топлива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10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Расход угля бурого марки Б (Канско-Ачинский, Ирбейского разреза), т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  <w:tblHeader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7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5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8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Базовый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64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Перспективный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69"/>
          <w:tblHeader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7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55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</w:t>
            </w:r>
            <w:r>
              <w:rPr>
                <w:color w:val="auto"/>
                <w:sz w:val="22"/>
                <w:szCs w:val="22"/>
              </w:rPr>
              <w:t xml:space="preserve">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</w:t>
            </w:r>
            <w:r>
              <w:rPr>
                <w:color w:val="auto"/>
                <w:sz w:val="22"/>
                <w:szCs w:val="22"/>
              </w:rPr>
              <w:t xml:space="preserve">30</w:t>
            </w:r>
            <w:r>
              <w:rPr>
                <w:color w:val="auto"/>
                <w:sz w:val="22"/>
                <w:szCs w:val="22"/>
              </w:rPr>
              <w:t xml:space="preserve">-203</w:t>
            </w:r>
            <w:r>
              <w:rPr>
                <w:color w:val="auto"/>
                <w:sz w:val="22"/>
                <w:szCs w:val="22"/>
              </w:rPr>
              <w:t xml:space="preserve">4</w:t>
            </w:r>
            <w:r>
              <w:rPr>
                <w:color w:val="auto"/>
                <w:sz w:val="22"/>
                <w:szCs w:val="22"/>
              </w:rPr>
              <w:t xml:space="preserve">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203</w:t>
            </w:r>
            <w:r>
              <w:rPr>
                <w:color w:val="auto"/>
                <w:sz w:val="22"/>
                <w:szCs w:val="22"/>
              </w:rPr>
              <w:t xml:space="preserve">5</w:t>
            </w:r>
            <w:r>
              <w:rPr>
                <w:color w:val="auto"/>
                <w:sz w:val="22"/>
                <w:szCs w:val="22"/>
              </w:rPr>
              <w:t xml:space="preserve">-203</w:t>
            </w:r>
            <w:r>
              <w:rPr>
                <w:color w:val="auto"/>
                <w:sz w:val="22"/>
                <w:szCs w:val="22"/>
              </w:rPr>
              <w:t xml:space="preserve">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</w:t>
            </w:r>
            <w:r>
              <w:rPr>
                <w:color w:val="auto"/>
                <w:sz w:val="22"/>
                <w:szCs w:val="22"/>
              </w:rPr>
              <w:t xml:space="preserve">40</w:t>
            </w:r>
            <w:r>
              <w:rPr>
                <w:color w:val="auto"/>
                <w:sz w:val="22"/>
                <w:szCs w:val="22"/>
              </w:rPr>
              <w:t xml:space="preserve">-2041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15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554" w:type="dxa"/>
            <w:vAlign w:val="center"/>
            <w:textDirection w:val="lrTb"/>
            <w:noWrap w:val="false"/>
          </w:tcPr>
          <w:p>
            <w:pPr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Котельная №1 (ТКСИ)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32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максимальный часовой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5,5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5,8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5,5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5,6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5,9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6,1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9,3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9,3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9,3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9,3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5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70" w:type="dxa"/>
            <w:vAlign w:val="center"/>
            <w:vMerge w:val="restart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годовой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5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зимний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12600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11866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12158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12817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13199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20169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20169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20169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20050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20050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7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5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переходный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15360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15193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15567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16411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16899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25825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25825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25825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25672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25672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52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7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5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летний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2579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2643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2786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2869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4385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4385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4385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4358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4358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425"/>
        </w:trPr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W w:w="232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Итого по котельной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30554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30355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29638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30368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32014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32967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50378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50378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50378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50080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554" w:type="dxa"/>
            <w:vAlign w:val="center"/>
            <w:textDirection w:val="lrTb"/>
            <w:noWrap w:val="false"/>
          </w:tcPr>
          <w:p>
            <w:pPr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Котельная № 2 (ШПЗ) 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32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максимальный часовой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8,0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8,0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8,0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8,2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8,3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8,3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9,0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9,0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9,0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9,0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56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70" w:type="dxa"/>
            <w:vAlign w:val="center"/>
            <w:vMerge w:val="restart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годовой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5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зимний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17250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17302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17728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17913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17970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19393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19393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19393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25565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19013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73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7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5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переходный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22595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22943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23509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23755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23830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25717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25717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25717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2571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25165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78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7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5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летний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2160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2307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2364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2389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2396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2586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2586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2586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47697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2467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67"/>
        </w:trPr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W w:w="232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Итого по котельной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42241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42005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42552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43601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44057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44196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47697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47697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47697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47697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554" w:type="dxa"/>
            <w:vAlign w:val="center"/>
            <w:textDirection w:val="lrTb"/>
            <w:noWrap w:val="false"/>
          </w:tcPr>
          <w:p>
            <w:pPr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Котельная № 3 (Мелькомбинат)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32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максимальный часовой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1,0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1,0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1,0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1,0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13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70" w:type="dxa"/>
            <w:vAlign w:val="center"/>
            <w:vMerge w:val="restart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годовой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5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зимний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1677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1719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1719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1719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2060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2060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2060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74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7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5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переходный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1732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1774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1774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1774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2126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2126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2126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24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7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5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летний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W w:w="232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Итого по котельной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3302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3409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60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554" w:type="dxa"/>
            <w:vAlign w:val="center"/>
            <w:textDirection w:val="lrTb"/>
            <w:noWrap w:val="false"/>
          </w:tcPr>
          <w:p>
            <w:pPr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Котельная № 4 (Экспедиция 5)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32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максимальный часовой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70" w:type="dxa"/>
            <w:vAlign w:val="center"/>
            <w:vMerge w:val="restart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годовой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5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зимний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1035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1035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1035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1035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1035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1035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1029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1029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36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7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5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переходный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1150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7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5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летний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W w:w="232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Итого по котельной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1904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2065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88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554" w:type="dxa"/>
            <w:vAlign w:val="center"/>
            <w:textDirection w:val="lrTb"/>
            <w:noWrap w:val="false"/>
          </w:tcPr>
          <w:p>
            <w:pPr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Котельная № 5 (Совхоз) 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532"/>
        </w:trPr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32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максимальный часовой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0,2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70" w:type="dxa"/>
            <w:vAlign w:val="center"/>
            <w:vMerge w:val="restart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годовой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5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зимний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365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381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7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5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переходный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7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5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летний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W w:w="232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Итого по котельной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798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792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554" w:type="dxa"/>
            <w:vAlign w:val="center"/>
            <w:textDirection w:val="lrTb"/>
            <w:noWrap w:val="false"/>
          </w:tcPr>
          <w:p>
            <w:pPr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Итого по муниципальному образованию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481"/>
        </w:trPr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32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максимальный часовой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14,9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15,2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14,9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15,3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15,7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15,9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19,9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19,9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19,9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19,8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70" w:type="dxa"/>
            <w:vAlign w:val="center"/>
            <w:vMerge w:val="restart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годовой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5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зимний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32850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32236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33031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33875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34314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43049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43049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43049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textDirection w:val="lrTb"/>
            <w:noWrap w:val="false"/>
          </w:tcPr>
          <w:p>
            <w:pPr>
              <w:rPr>
                <w:color w:val="auto"/>
              </w:rPr>
            </w:pPr>
            <w:r>
              <w:rPr>
                <w:color w:val="auto"/>
                <w:sz w:val="22"/>
                <w:szCs w:val="22"/>
              </w:rPr>
              <w:t xml:space="preserve">43049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textDirection w:val="lrTb"/>
            <w:noWrap w:val="false"/>
          </w:tcPr>
          <w:p>
            <w:pPr>
              <w:rPr>
                <w:color w:val="auto"/>
              </w:rPr>
            </w:pPr>
            <w:r>
              <w:rPr>
                <w:color w:val="auto"/>
                <w:sz w:val="22"/>
                <w:szCs w:val="22"/>
              </w:rPr>
              <w:t xml:space="preserve">43049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</w:tr>
      <w:tr>
        <w:tblPrEx/>
        <w:trPr>
          <w:trHeight w:val="281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7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5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переходный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41274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41310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42327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43417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43980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55145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55145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55145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textDirection w:val="lrTb"/>
            <w:noWrap w:val="false"/>
          </w:tcPr>
          <w:p>
            <w:pPr>
              <w:rPr>
                <w:color w:val="auto"/>
              </w:rPr>
            </w:pPr>
            <w:r>
              <w:rPr>
                <w:color w:val="auto"/>
                <w:sz w:val="22"/>
                <w:szCs w:val="22"/>
              </w:rPr>
              <w:t xml:space="preserve">55145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textDirection w:val="lrTb"/>
            <w:noWrap w:val="false"/>
          </w:tcPr>
          <w:p>
            <w:pPr>
              <w:rPr>
                <w:color w:val="auto"/>
              </w:rPr>
            </w:pPr>
            <w:r>
              <w:rPr>
                <w:color w:val="auto"/>
                <w:sz w:val="22"/>
                <w:szCs w:val="22"/>
              </w:rPr>
              <w:t xml:space="preserve">55145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</w:tr>
      <w:tr>
        <w:tblPrEx/>
        <w:trPr>
          <w:trHeight w:val="30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70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5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летний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4555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4886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5175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5266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6971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6971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6971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textDirection w:val="lrTb"/>
            <w:noWrap w:val="false"/>
          </w:tcPr>
          <w:p>
            <w:pPr>
              <w:rPr>
                <w:color w:val="auto"/>
              </w:rPr>
            </w:pPr>
            <w:r>
              <w:rPr>
                <w:color w:val="auto"/>
                <w:sz w:val="22"/>
                <w:szCs w:val="22"/>
              </w:rPr>
              <w:t xml:space="preserve">6971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textDirection w:val="lrTb"/>
            <w:noWrap w:val="false"/>
          </w:tcPr>
          <w:p>
            <w:pPr>
              <w:rPr>
                <w:color w:val="auto"/>
              </w:rPr>
            </w:pPr>
            <w:r>
              <w:rPr>
                <w:color w:val="auto"/>
                <w:sz w:val="22"/>
                <w:szCs w:val="22"/>
              </w:rPr>
              <w:t xml:space="preserve">6971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</w:tr>
      <w:tr>
        <w:tblPrEx/>
        <w:trPr>
          <w:trHeight w:val="300"/>
        </w:trPr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W w:w="232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Итого по котельной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5" w:type="dxa"/>
            <w:vAlign w:val="center"/>
            <w:textDirection w:val="lrTb"/>
            <w:noWrap/>
          </w:tcPr>
          <w:p>
            <w:pPr>
              <w:jc w:val="right"/>
              <w:rPr>
                <w:rFonts w:ascii="Calibri" w:hAnsi="Calibri"/>
                <w:color w:val="auto"/>
                <w:sz w:val="22"/>
                <w:szCs w:val="22"/>
              </w:rPr>
            </w:pPr>
            <w:r>
              <w:rPr>
                <w:rFonts w:ascii="Calibri" w:hAnsi="Calibri"/>
                <w:color w:val="auto"/>
                <w:sz w:val="22"/>
                <w:szCs w:val="22"/>
              </w:rPr>
              <w:t xml:space="preserve">78694</w:t>
            </w:r>
            <w:r>
              <w:rPr>
                <w:rFonts w:ascii="Calibri" w:hAnsi="Calibri"/>
                <w:color w:val="auto"/>
                <w:sz w:val="22"/>
                <w:szCs w:val="22"/>
              </w:rPr>
            </w:r>
            <w:r>
              <w:rPr>
                <w:rFonts w:ascii="Calibri" w:hAnsi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rFonts w:ascii="Calibri" w:hAnsi="Calibri"/>
                <w:color w:val="auto"/>
                <w:sz w:val="22"/>
                <w:szCs w:val="22"/>
              </w:rPr>
            </w:pPr>
            <w:r>
              <w:rPr>
                <w:rFonts w:ascii="Calibri" w:hAnsi="Calibri"/>
                <w:color w:val="auto"/>
                <w:sz w:val="22"/>
                <w:szCs w:val="22"/>
              </w:rPr>
              <w:t xml:space="preserve">78679</w:t>
            </w:r>
            <w:r>
              <w:rPr>
                <w:rFonts w:ascii="Calibri" w:hAnsi="Calibri"/>
                <w:color w:val="auto"/>
                <w:sz w:val="22"/>
                <w:szCs w:val="22"/>
              </w:rPr>
            </w:r>
            <w:r>
              <w:rPr>
                <w:rFonts w:ascii="Calibri" w:hAnsi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rFonts w:ascii="Calibri" w:hAnsi="Calibri"/>
                <w:color w:val="auto"/>
                <w:sz w:val="22"/>
                <w:szCs w:val="22"/>
              </w:rPr>
            </w:pPr>
            <w:r>
              <w:rPr>
                <w:rFonts w:ascii="Calibri" w:hAnsi="Calibri"/>
                <w:color w:val="auto"/>
                <w:sz w:val="22"/>
                <w:szCs w:val="22"/>
              </w:rPr>
              <w:t xml:space="preserve">78432</w:t>
            </w:r>
            <w:r>
              <w:rPr>
                <w:rFonts w:ascii="Calibri" w:hAnsi="Calibri"/>
                <w:color w:val="auto"/>
                <w:sz w:val="22"/>
                <w:szCs w:val="22"/>
              </w:rPr>
            </w:r>
            <w:r>
              <w:rPr>
                <w:rFonts w:ascii="Calibri" w:hAnsi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rFonts w:ascii="Calibri" w:hAnsi="Calibri"/>
                <w:color w:val="auto"/>
                <w:sz w:val="22"/>
                <w:szCs w:val="22"/>
              </w:rPr>
            </w:pPr>
            <w:r>
              <w:rPr>
                <w:rFonts w:ascii="Calibri" w:hAnsi="Calibri"/>
                <w:color w:val="auto"/>
                <w:sz w:val="22"/>
                <w:szCs w:val="22"/>
              </w:rPr>
              <w:t xml:space="preserve">80365</w:t>
            </w:r>
            <w:r>
              <w:rPr>
                <w:rFonts w:ascii="Calibri" w:hAnsi="Calibri"/>
                <w:color w:val="auto"/>
                <w:sz w:val="22"/>
                <w:szCs w:val="22"/>
              </w:rPr>
            </w:r>
            <w:r>
              <w:rPr>
                <w:rFonts w:ascii="Calibri" w:hAnsi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rFonts w:ascii="Calibri" w:hAnsi="Calibri"/>
                <w:color w:val="auto"/>
                <w:sz w:val="22"/>
                <w:szCs w:val="22"/>
              </w:rPr>
            </w:pPr>
            <w:r>
              <w:rPr>
                <w:rFonts w:ascii="Calibri" w:hAnsi="Calibri"/>
                <w:color w:val="auto"/>
                <w:sz w:val="22"/>
                <w:szCs w:val="22"/>
              </w:rPr>
              <w:t xml:space="preserve">82467</w:t>
            </w:r>
            <w:r>
              <w:rPr>
                <w:rFonts w:ascii="Calibri" w:hAnsi="Calibri"/>
                <w:color w:val="auto"/>
                <w:sz w:val="22"/>
                <w:szCs w:val="22"/>
              </w:rPr>
            </w:r>
            <w:r>
              <w:rPr>
                <w:rFonts w:ascii="Calibri" w:hAnsi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4" w:type="dxa"/>
            <w:vAlign w:val="center"/>
            <w:textDirection w:val="lrTb"/>
            <w:noWrap/>
          </w:tcPr>
          <w:p>
            <w:pPr>
              <w:jc w:val="right"/>
              <w:rPr>
                <w:rFonts w:ascii="Calibri" w:hAnsi="Calibri"/>
                <w:color w:val="auto"/>
                <w:sz w:val="22"/>
                <w:szCs w:val="22"/>
              </w:rPr>
            </w:pPr>
            <w:r>
              <w:rPr>
                <w:rFonts w:ascii="Calibri" w:hAnsi="Calibri"/>
                <w:color w:val="auto"/>
                <w:sz w:val="22"/>
                <w:szCs w:val="22"/>
              </w:rPr>
              <w:t xml:space="preserve">83560</w:t>
            </w:r>
            <w:r>
              <w:rPr>
                <w:rFonts w:ascii="Calibri" w:hAnsi="Calibri"/>
                <w:color w:val="auto"/>
                <w:sz w:val="22"/>
                <w:szCs w:val="22"/>
              </w:rPr>
            </w:r>
            <w:r>
              <w:rPr>
                <w:rFonts w:ascii="Calibri" w:hAnsi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rFonts w:ascii="Calibri" w:hAnsi="Calibri"/>
                <w:color w:val="auto"/>
                <w:sz w:val="22"/>
                <w:szCs w:val="22"/>
              </w:rPr>
            </w:pPr>
            <w:r>
              <w:rPr>
                <w:rFonts w:ascii="Calibri" w:hAnsi="Calibri"/>
                <w:color w:val="auto"/>
                <w:sz w:val="22"/>
                <w:szCs w:val="22"/>
              </w:rPr>
              <w:t xml:space="preserve">105165</w:t>
            </w:r>
            <w:r>
              <w:rPr>
                <w:rFonts w:ascii="Calibri" w:hAnsi="Calibri"/>
                <w:color w:val="auto"/>
                <w:sz w:val="22"/>
                <w:szCs w:val="22"/>
              </w:rPr>
            </w:r>
            <w:r>
              <w:rPr>
                <w:rFonts w:ascii="Calibri" w:hAnsi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rFonts w:ascii="Calibri" w:hAnsi="Calibri"/>
                <w:color w:val="auto"/>
                <w:sz w:val="22"/>
                <w:szCs w:val="22"/>
              </w:rPr>
            </w:pPr>
            <w:r>
              <w:rPr>
                <w:rFonts w:ascii="Calibri" w:hAnsi="Calibri"/>
                <w:color w:val="auto"/>
                <w:sz w:val="22"/>
                <w:szCs w:val="22"/>
              </w:rPr>
              <w:t xml:space="preserve">105165</w:t>
            </w:r>
            <w:r>
              <w:rPr>
                <w:rFonts w:ascii="Calibri" w:hAnsi="Calibri"/>
                <w:color w:val="auto"/>
                <w:sz w:val="22"/>
                <w:szCs w:val="22"/>
              </w:rPr>
            </w:r>
            <w:r>
              <w:rPr>
                <w:rFonts w:ascii="Calibri" w:hAnsi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rFonts w:ascii="Calibri" w:hAnsi="Calibri"/>
                <w:color w:val="auto"/>
                <w:sz w:val="22"/>
                <w:szCs w:val="22"/>
              </w:rPr>
            </w:pPr>
            <w:r>
              <w:rPr>
                <w:rFonts w:ascii="Calibri" w:hAnsi="Calibri"/>
                <w:color w:val="auto"/>
                <w:sz w:val="22"/>
                <w:szCs w:val="22"/>
              </w:rPr>
              <w:t xml:space="preserve">105165</w:t>
            </w:r>
            <w:r>
              <w:rPr>
                <w:rFonts w:ascii="Calibri" w:hAnsi="Calibri"/>
                <w:color w:val="auto"/>
                <w:sz w:val="22"/>
                <w:szCs w:val="22"/>
              </w:rPr>
            </w:r>
            <w:r>
              <w:rPr>
                <w:rFonts w:ascii="Calibri" w:hAnsi="Calibr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/>
          </w:tcPr>
          <w:p>
            <w:pPr>
              <w:jc w:val="right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/>
                <w:color w:val="auto"/>
                <w:sz w:val="22"/>
                <w:szCs w:val="22"/>
              </w:rPr>
              <w:t xml:space="preserve">105165</w:t>
            </w:r>
            <w:r>
              <w:rPr>
                <w:rFonts w:ascii="Calibri" w:hAnsi="Calibri" w:cs="Calibri"/>
                <w:color w:val="auto"/>
                <w:sz w:val="22"/>
                <w:szCs w:val="22"/>
              </w:rPr>
            </w:r>
            <w:r>
              <w:rPr>
                <w:rFonts w:ascii="Calibri" w:hAnsi="Calibri" w:cs="Calibri"/>
                <w:color w:val="auto"/>
                <w:sz w:val="22"/>
                <w:szCs w:val="22"/>
              </w:rPr>
            </w:r>
          </w:p>
        </w:tc>
      </w:tr>
    </w:tbl>
    <w:p>
      <w:pPr>
        <w:jc w:val="center"/>
        <w:tabs>
          <w:tab w:val="left" w:pos="851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  <w:color w:val="auto"/>
          <w:shd w:val="clear" w:color="auto" w:fill="ffffff"/>
        </w:rPr>
      </w:pPr>
      <w:r>
        <w:rPr>
          <w:color w:val="auto"/>
        </w:rPr>
      </w:r>
      <w:bookmarkStart w:id="121" w:name="_Toc149055651"/>
      <w:r>
        <w:rPr>
          <w:rFonts w:eastAsiaTheme="majorEastAsia"/>
          <w:bCs/>
          <w:color w:val="auto"/>
        </w:rPr>
        <w:t xml:space="preserve">10.2. </w:t>
      </w:r>
      <w:r>
        <w:rPr>
          <w:rFonts w:eastAsiaTheme="majorEastAsia"/>
          <w:bCs/>
          <w:color w:val="auto"/>
          <w:shd w:val="clear" w:color="auto" w:fill="ffffff"/>
        </w:rPr>
        <w:t xml:space="preserve">Перспективные топливные балансы для каждого источника тепловой энергии по видам основного, резервного и аварийного топлива на каждом этапе</w:t>
      </w:r>
      <w:bookmarkEnd w:id="121"/>
      <w:r>
        <w:rPr>
          <w:rFonts w:eastAsiaTheme="majorEastAsia"/>
          <w:bCs/>
          <w:color w:val="auto"/>
          <w:shd w:val="clear" w:color="auto" w:fill="ffffff"/>
        </w:rPr>
      </w:r>
      <w:r>
        <w:rPr>
          <w:rFonts w:eastAsiaTheme="majorEastAsia"/>
          <w:bCs/>
          <w:color w:val="auto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EastAsia"/>
          <w:color w:val="auto"/>
        </w:rPr>
        <w:t xml:space="preserve">В муниципальных котельных Тайшетского городского поселения резервное и аварийное топливо отсутствует.</w:t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p>
      <w:pPr>
        <w:ind w:firstLine="709"/>
        <w:jc w:val="both"/>
        <w:widowControl w:val="off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EastAsia"/>
          <w:color w:val="auto"/>
        </w:rPr>
        <w:t xml:space="preserve">Существующее и перспективное годовое потребление </w:t>
      </w:r>
      <w:r>
        <w:rPr>
          <w:rFonts w:eastAsiaTheme="minorEastAsia"/>
          <w:color w:val="auto"/>
          <w:shd w:val="clear" w:color="auto" w:fill="ffffff"/>
        </w:rPr>
        <w:t xml:space="preserve">угля бурого марки Б Канско-Ачинского, Ирбейского разреза</w:t>
      </w:r>
      <w:r>
        <w:rPr>
          <w:rFonts w:eastAsiaTheme="minorEastAsia"/>
          <w:color w:val="auto"/>
        </w:rPr>
        <w:t xml:space="preserve"> муниципальными котельными Тайшетского городского поселения представлено в Таблице 48.</w:t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p>
      <w:pPr>
        <w:jc w:val="right"/>
        <w:widowControl w:val="off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p>
      <w:pPr>
        <w:jc w:val="right"/>
        <w:widowControl w:val="off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EastAsia"/>
          <w:color w:val="auto"/>
        </w:rPr>
        <w:t xml:space="preserve">Таблица 48</w:t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rFonts w:eastAsiaTheme="majorEastAsia"/>
          <w:bCs/>
          <w:color w:val="auto"/>
          <w:shd w:val="clear" w:color="auto" w:fill="ffffff"/>
        </w:rPr>
      </w:pPr>
      <w:r>
        <w:rPr>
          <w:rFonts w:eastAsiaTheme="minorEastAsia"/>
          <w:color w:val="auto"/>
        </w:rPr>
        <w:t xml:space="preserve">Существующий и перспективные </w:t>
      </w:r>
      <w:r>
        <w:rPr>
          <w:rFonts w:eastAsiaTheme="majorEastAsia"/>
          <w:bCs/>
          <w:color w:val="auto"/>
          <w:shd w:val="clear" w:color="auto" w:fill="ffffff"/>
        </w:rPr>
        <w:t xml:space="preserve">топливные балансы источника тепловой</w:t>
      </w:r>
      <w:r>
        <w:rPr>
          <w:rFonts w:eastAsiaTheme="majorEastAsia"/>
          <w:bCs/>
          <w:color w:val="auto"/>
          <w:shd w:val="clear" w:color="auto" w:fill="ffffff"/>
        </w:rPr>
      </w:r>
      <w:r>
        <w:rPr>
          <w:rFonts w:eastAsiaTheme="majorEastAsia"/>
          <w:bCs/>
          <w:color w:val="auto"/>
          <w:shd w:val="clear" w:color="auto" w:fill="ffffff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ajorEastAsia"/>
          <w:bCs/>
          <w:color w:val="auto"/>
          <w:shd w:val="clear" w:color="auto" w:fill="ffffff"/>
        </w:rPr>
        <w:t xml:space="preserve"> энергии по видам основного топлива</w:t>
      </w:r>
      <w:r>
        <w:rPr>
          <w:rFonts w:eastAsiaTheme="minorEastAsia"/>
          <w:color w:val="auto"/>
        </w:rPr>
        <w:t xml:space="preserve">  </w:t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tbl>
      <w:tblPr>
        <w:tblW w:w="10084" w:type="dxa"/>
        <w:tblInd w:w="-176" w:type="dxa"/>
        <w:tblLook w:val="04A0" w:firstRow="1" w:lastRow="0" w:firstColumn="1" w:lastColumn="0" w:noHBand="0" w:noVBand="1"/>
      </w:tblPr>
      <w:tblGrid>
        <w:gridCol w:w="2411"/>
        <w:gridCol w:w="766"/>
        <w:gridCol w:w="766"/>
        <w:gridCol w:w="766"/>
        <w:gridCol w:w="766"/>
        <w:gridCol w:w="766"/>
        <w:gridCol w:w="766"/>
        <w:gridCol w:w="766"/>
        <w:gridCol w:w="766"/>
        <w:gridCol w:w="766"/>
        <w:gridCol w:w="770"/>
        <w:gridCol w:w="9"/>
      </w:tblGrid>
      <w:tr>
        <w:tblPrEx/>
        <w:trPr>
          <w:gridAfter w:val="1"/>
          <w:trHeight w:val="326"/>
          <w:tblHeader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Наименование основного вида топлива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10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Годовое потребление топлива муниципальными котельными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  <w:tblHeader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3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Базовый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8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13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Перспективный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600"/>
          <w:tblHeader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2030-2034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2035-2039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2040-2041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15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08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Котельная №1 (ТКСИ)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разреза, т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30554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30355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29638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30368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32014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32967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50378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50378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50378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50378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657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разреза, т у.т.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18612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18225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18044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18231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19528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20110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30731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30731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30731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30731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13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08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Котельная № 2 (ШПЗ)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857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разреза, т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42241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42005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42552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43601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44057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44196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47697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47697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47697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47697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633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разреза, т у.т.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25745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25203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25906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26176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26875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26960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29095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29095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29095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29095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08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Котельная № 3 (Мелькомбинат)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разреза, т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3302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3409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765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разреза, т у.т.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2016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2067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2075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27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08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Котельная № 4 (Экспедиция 5)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777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разреза, т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1904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2065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2091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702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разреза, т у.т.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1175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1238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1243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1276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1276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1276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1276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1276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1276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08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Котельная № 5 (Совхоз)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разреза, т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798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792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826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Уголь бурый Канско-Ачинский, Ирбейского разреза, т у.т.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68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08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Электрокотельная ДТВ ОАО «РЖД»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507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Электроэнергия, тысяч кВт.ч/год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31041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08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Электрокотельная ПС-500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391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Электроэнергия, тысяч кВт.ч/год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</w:tbl>
    <w:p>
      <w:pPr>
        <w:jc w:val="center"/>
        <w:tabs>
          <w:tab w:val="left" w:pos="567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  <w:color w:val="auto"/>
        </w:rPr>
      </w:pPr>
      <w:r>
        <w:rPr>
          <w:color w:val="auto"/>
        </w:rPr>
      </w:r>
      <w:bookmarkStart w:id="122" w:name="_Toc149055652"/>
      <w:r>
        <w:rPr>
          <w:rFonts w:eastAsiaTheme="majorEastAsia"/>
          <w:bCs/>
          <w:color w:val="auto"/>
        </w:rPr>
        <w:t xml:space="preserve">10.3. Вид топлива, потребляемый источником тепловой энергии, в том числе с использованием возобновляемых источников энергии и местных видов топлива</w:t>
      </w:r>
      <w:bookmarkEnd w:id="122"/>
      <w:r>
        <w:rPr>
          <w:rFonts w:eastAsiaTheme="majorEastAsia"/>
          <w:bCs/>
          <w:color w:val="auto"/>
        </w:rPr>
      </w:r>
      <w:r>
        <w:rPr>
          <w:rFonts w:eastAsiaTheme="majorEastAsia"/>
          <w:bCs/>
          <w:color w:val="auto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HAnsi"/>
          <w:color w:val="auto"/>
        </w:rPr>
      </w:pPr>
      <w:r>
        <w:rPr>
          <w:rFonts w:eastAsiaTheme="minorHAnsi"/>
          <w:color w:val="auto"/>
          <w:lang w:eastAsia="en-US"/>
        </w:rPr>
        <w:t xml:space="preserve">Основным видом топлива для существующих </w:t>
      </w:r>
      <w:r>
        <w:rPr>
          <w:rFonts w:eastAsiaTheme="minorEastAsia"/>
          <w:color w:val="auto"/>
          <w:shd w:val="clear" w:color="auto" w:fill="ffffff"/>
        </w:rPr>
        <w:t xml:space="preserve">муниципальных </w:t>
      </w:r>
      <w:r>
        <w:rPr>
          <w:rFonts w:eastAsiaTheme="minorHAnsi"/>
          <w:color w:val="auto"/>
          <w:lang w:eastAsia="en-US"/>
        </w:rPr>
        <w:t xml:space="preserve">котельных Тайшетского городского поселения является </w:t>
      </w:r>
      <w:r>
        <w:rPr>
          <w:rFonts w:eastAsiaTheme="minorEastAsia"/>
          <w:color w:val="auto"/>
          <w:shd w:val="clear" w:color="auto" w:fill="ffffff"/>
        </w:rPr>
        <w:t xml:space="preserve">уголь бурый марки Б Канско-Ачинского, Ирбейского разреза</w:t>
      </w:r>
      <w:r>
        <w:rPr>
          <w:rFonts w:eastAsiaTheme="minorHAnsi"/>
          <w:color w:val="auto"/>
          <w:lang w:eastAsia="en-US"/>
        </w:rPr>
        <w:t xml:space="preserve">. Резервное, аварийное топливо для муниципальных котельных отсутствует.</w:t>
      </w:r>
      <w:r>
        <w:rPr>
          <w:rFonts w:eastAsiaTheme="minorHAnsi"/>
          <w:color w:val="auto"/>
        </w:rPr>
      </w:r>
      <w:r>
        <w:rPr>
          <w:rFonts w:eastAsiaTheme="minorHAnsi"/>
          <w:color w:val="auto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HAnsi"/>
          <w:color w:val="auto"/>
        </w:rPr>
      </w:pPr>
      <w:r>
        <w:rPr>
          <w:rFonts w:eastAsiaTheme="minorHAnsi"/>
          <w:color w:val="auto"/>
          <w:lang w:eastAsia="en-US"/>
        </w:rPr>
        <w:t xml:space="preserve">Индивидуальные источники тепловой энергии Тайшетского городского поселения в малоэтажных жилых домах и </w:t>
      </w:r>
      <w:r>
        <w:rPr>
          <w:rFonts w:eastAsiaTheme="minorHAnsi"/>
          <w:color w:val="auto"/>
          <w:lang w:eastAsia="en-US"/>
        </w:rPr>
        <w:t xml:space="preserve">индивидуальных жилых домах (индивидуальные котельные агрегаты, печи) в качестве топлива для отопления используют уголь бурый, дрова и электроэнергия.</w:t>
      </w:r>
      <w:r>
        <w:rPr>
          <w:rFonts w:eastAsiaTheme="minorHAnsi"/>
          <w:color w:val="auto"/>
        </w:rPr>
      </w:r>
      <w:r>
        <w:rPr>
          <w:rFonts w:eastAsiaTheme="minorHAnsi"/>
          <w:color w:val="auto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HAnsi"/>
          <w:color w:val="auto"/>
        </w:rPr>
      </w:pPr>
      <w:r>
        <w:rPr>
          <w:rFonts w:eastAsiaTheme="minorEastAsia"/>
          <w:color w:val="auto"/>
          <w:shd w:val="clear" w:color="auto" w:fill="ffffff"/>
        </w:rPr>
        <w:t xml:space="preserve">Местным видом топлива для отопления в муниципальном образовании являются дрова и уголь Шиткинского разреза.</w:t>
      </w:r>
      <w:r>
        <w:rPr>
          <w:rFonts w:eastAsiaTheme="minorHAnsi"/>
          <w:color w:val="auto"/>
        </w:rPr>
      </w:r>
      <w:r>
        <w:rPr>
          <w:rFonts w:eastAsiaTheme="minorHAnsi"/>
          <w:color w:val="auto"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EastAsia"/>
          <w:color w:val="auto"/>
          <w:shd w:val="clear" w:color="auto" w:fill="ffffff"/>
        </w:rPr>
        <w:t xml:space="preserve">На территории Тайшетского городского поселения возобновляемые источники </w:t>
      </w:r>
      <w:r>
        <w:rPr>
          <w:rFonts w:eastAsiaTheme="minorEastAsia"/>
          <w:shd w:val="clear" w:color="auto" w:fill="ffffff"/>
        </w:rPr>
        <w:t xml:space="preserve">тепловой энергии по состоянию на отчетный (базовый)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 отсутствуют.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23" w:name="_Toc149055653"/>
      <w:r>
        <w:rPr>
          <w:rFonts w:eastAsiaTheme="majorEastAsia"/>
          <w:bCs/>
        </w:rPr>
        <w:t xml:space="preserve">10.4. Виды топлива, их доля и значение низшей теплоты сгорания топлива, используемые для производства тепловой энергии по каждой системе теплоснабжения</w:t>
      </w:r>
      <w:bookmarkEnd w:id="123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Виды топлива, доля топлива и значение низшей теплоты сгорания топлива, используемые для производства тепловой энергии в системах теплоснабжения </w:t>
      </w:r>
      <w:r>
        <w:rPr>
          <w:rFonts w:eastAsiaTheme="minorHAnsi"/>
          <w:lang w:eastAsia="en-US"/>
        </w:rPr>
        <w:t xml:space="preserve">котельных Тайшетского городского поселения,</w:t>
      </w:r>
      <w:r>
        <w:rPr>
          <w:rFonts w:eastAsiaTheme="minorEastAsia"/>
          <w:shd w:val="clear" w:color="auto" w:fill="ffffff"/>
        </w:rPr>
        <w:t xml:space="preserve"> представлены в Таблице 49.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right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Таблица 49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Виды топлива, доля топлива и значение низшей теплоты сгорания 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топлива, используемые для производства тепловой энергии в системах 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tabs>
          <w:tab w:val="left" w:pos="567" w:leader="none"/>
          <w:tab w:val="right" w:pos="9923" w:leader="dot"/>
        </w:tabs>
        <w:rPr>
          <w:rFonts w:eastAsiaTheme="minorHAnsi"/>
          <w:lang w:eastAsia="en-US"/>
        </w:rPr>
      </w:pPr>
      <w:r>
        <w:rPr>
          <w:rFonts w:eastAsiaTheme="minorEastAsia"/>
          <w:shd w:val="clear" w:color="auto" w:fill="ffffff"/>
        </w:rPr>
        <w:t xml:space="preserve">теплоснабжения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tbl>
      <w:tblPr>
        <w:tblW w:w="9356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2694"/>
        <w:gridCol w:w="2551"/>
        <w:gridCol w:w="2126"/>
        <w:gridCol w:w="1985"/>
      </w:tblGrid>
      <w:tr>
        <w:tblPrEx/>
        <w:trPr>
          <w:trHeight w:val="20"/>
        </w:trPr>
        <w:tc>
          <w:tcPr>
            <w:tcW w:w="2694" w:type="dxa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Наименование системы теплоснабжения муниципального образования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Вид используемого топлива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Доля используемого топлива в общем объеме топлива, %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Значение низшей теплоты сгорания используемого топлива, ккал/кг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W w:w="2694" w:type="dxa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Уголь бурый Канско-Ачинский, Ирбейского разреза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4270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tcW w:w="2694" w:type="dxa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2 (ШПЗ)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Уголь бурый Канско-Ачинский, Ирбейского разреза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</w:pPr>
            <w:r>
              <w:rPr>
                <w:sz w:val="22"/>
                <w:szCs w:val="22"/>
              </w:rPr>
              <w:t xml:space="preserve">4270</w:t>
            </w:r>
            <w:r/>
          </w:p>
        </w:tc>
      </w:tr>
      <w:tr>
        <w:tblPrEx/>
        <w:trPr>
          <w:trHeight w:val="20"/>
        </w:trPr>
        <w:tc>
          <w:tcPr>
            <w:tcW w:w="2694" w:type="dxa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3 (Мелькомбинат)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Уголь бурый Канско-Ачинский, Ирбейского разреза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</w:pPr>
            <w:r>
              <w:rPr>
                <w:sz w:val="22"/>
                <w:szCs w:val="22"/>
              </w:rPr>
              <w:t xml:space="preserve">4270</w:t>
            </w:r>
            <w:r/>
          </w:p>
        </w:tc>
      </w:tr>
      <w:tr>
        <w:tblPrEx/>
        <w:trPr>
          <w:trHeight w:val="20"/>
        </w:trPr>
        <w:tc>
          <w:tcPr>
            <w:tcW w:w="2694" w:type="dxa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4 (Экспедиция 5)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Уголь бурый Канско-Ачинский, Ирбейского разреза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</w:pPr>
            <w:r>
              <w:rPr>
                <w:sz w:val="22"/>
                <w:szCs w:val="22"/>
              </w:rPr>
              <w:t xml:space="preserve">4270</w:t>
            </w:r>
            <w:r/>
          </w:p>
        </w:tc>
      </w:tr>
      <w:tr>
        <w:tblPrEx/>
        <w:trPr>
          <w:trHeight w:val="20"/>
        </w:trPr>
        <w:tc>
          <w:tcPr>
            <w:tcW w:w="2694" w:type="dxa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5 (Совхоз)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Уголь бурый Канско-Ачинский, Ирбейского разреза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</w:pPr>
            <w:r>
              <w:rPr>
                <w:sz w:val="22"/>
                <w:szCs w:val="22"/>
              </w:rPr>
              <w:t xml:space="preserve">4270</w:t>
            </w:r>
            <w:r/>
          </w:p>
        </w:tc>
      </w:tr>
      <w:tr>
        <w:tblPrEx/>
        <w:trPr>
          <w:trHeight w:val="20"/>
        </w:trPr>
        <w:tc>
          <w:tcPr>
            <w:shd w:val="clear" w:color="auto" w:fill="auto"/>
            <w:tcW w:w="2694" w:type="dxa"/>
            <w:vAlign w:val="center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Электрокотельная ДТВ ОАО «РЖД»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25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Электроэнергия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12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98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W w:w="2694" w:type="dxa"/>
            <w:vAlign w:val="center"/>
            <w:textDirection w:val="lrTb"/>
            <w:noWrap w:val="false"/>
          </w:tcPr>
          <w:p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Электрокотельная ПС-500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shd w:val="clear" w:color="auto" w:fill="auto"/>
            <w:tcW w:w="25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Электроэнергия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212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98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ind w:firstLine="709"/>
        <w:jc w:val="both"/>
        <w:keepLines/>
        <w:keepNext/>
        <w:widowControl w:val="off"/>
        <w:rPr>
          <w:rFonts w:eastAsiaTheme="majorEastAsia"/>
        </w:rPr>
      </w:pPr>
      <w:r>
        <w:rPr>
          <w:rFonts w:eastAsiaTheme="majorEastAsia"/>
          <w:bCs/>
          <w:highlight w:val="none"/>
        </w:rPr>
      </w:r>
      <w:r>
        <w:rPr>
          <w:rFonts w:eastAsiaTheme="majorEastAsia"/>
        </w:rPr>
      </w:r>
      <w:r>
        <w:rPr>
          <w:rFonts w:eastAsiaTheme="maj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highlight w:val="none"/>
        </w:rPr>
      </w:pPr>
      <w:r/>
      <w:bookmarkStart w:id="124" w:name="_Toc149055654"/>
      <w:r>
        <w:rPr>
          <w:rFonts w:eastAsiaTheme="majorEastAsia"/>
          <w:bCs/>
        </w:rPr>
        <w:t xml:space="preserve">10.5. Преобладающий вид топлива, определяемый по совокупности всех систем теплоснабжения, находящихся в Тайшетском городском поселении</w:t>
      </w:r>
      <w:bookmarkEnd w:id="124"/>
      <w:r>
        <w:rPr>
          <w:rFonts w:eastAsiaTheme="majorEastAsia"/>
          <w:bCs/>
        </w:rPr>
        <w:t xml:space="preserve">.</w:t>
      </w:r>
      <w:r>
        <w:rPr>
          <w:rFonts w:eastAsiaTheme="majorEastAsia"/>
          <w:highlight w:val="none"/>
        </w:rPr>
      </w:r>
      <w:r>
        <w:rPr>
          <w:rFonts w:eastAsiaTheme="majorEastAsia"/>
          <w:highlight w:val="none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Во всех системах теплоснабжения Тайшетского городского поселения основным и преобладающим видом топлива является уголь бурый марки Б Канско-Ачинского, Ирбейского разреза. </w:t>
      </w:r>
      <w:r>
        <w:rPr>
          <w:rFonts w:eastAsiaTheme="minorEastAsia"/>
          <w:shd w:val="clear" w:color="auto" w:fill="ffffff"/>
        </w:rPr>
        <w:t xml:space="preserve">Индивидуальные источники тепловой энергии (индивидуальные котельные агрегаты, печи) муниципального образования используют для отопления уголь бурый и дрова. Другие виды топлива на территории муниципального образования по состоянию на отчетный (базовый) 202</w:t>
      </w:r>
      <w:r>
        <w:rPr>
          <w:rFonts w:eastAsiaTheme="minorEastAsia"/>
          <w:shd w:val="clear" w:color="auto" w:fill="ffffff"/>
        </w:rPr>
        <w:t xml:space="preserve">4</w:t>
      </w:r>
      <w:r>
        <w:rPr>
          <w:rFonts w:eastAsiaTheme="minorEastAsia"/>
          <w:shd w:val="clear" w:color="auto" w:fill="ffffff"/>
        </w:rPr>
        <w:t xml:space="preserve"> год не используются.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25" w:name="_Toc149055655"/>
      <w:r>
        <w:rPr>
          <w:rFonts w:eastAsiaTheme="majorEastAsia"/>
          <w:bCs/>
        </w:rPr>
        <w:t xml:space="preserve">10.6. Приоритетное направление развития топливного баланса Тайшетского городского поселения</w:t>
      </w:r>
      <w:bookmarkEnd w:id="125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ajorEastAsia"/>
          <w:bCs/>
          <w:caps/>
          <w:szCs w:val="26"/>
        </w:rPr>
      </w:pPr>
      <w:r>
        <w:rPr>
          <w:rFonts w:eastAsiaTheme="minorEastAsia"/>
          <w:shd w:val="clear" w:color="auto" w:fill="ffffff"/>
        </w:rPr>
        <w:t xml:space="preserve">Приоритетным направлением развития топливного баланса Тайшетского городского поселения на перспективу до 2041 года является сохранение в качестве основного вида топлива в системах теплоснабжения </w:t>
      </w:r>
      <w:r>
        <w:rPr>
          <w:rFonts w:eastAsiaTheme="minorHAnsi"/>
          <w:lang w:eastAsia="en-US"/>
        </w:rPr>
        <w:t xml:space="preserve">муниципальных котельных Тайшетского городского поселения </w:t>
      </w:r>
      <w:r>
        <w:rPr>
          <w:rFonts w:eastAsiaTheme="minorEastAsia"/>
          <w:shd w:val="clear" w:color="auto" w:fill="ffffff"/>
        </w:rPr>
        <w:t xml:space="preserve">угля бурого марки Б Канско-Ачинского, Ирбейского</w:t>
      </w:r>
      <w:r>
        <w:rPr>
          <w:rFonts w:eastAsiaTheme="minorEastAsia"/>
          <w:strike/>
          <w:shd w:val="clear" w:color="auto" w:fill="ffffff"/>
        </w:rPr>
        <w:t xml:space="preserve"> разреза</w:t>
      </w:r>
      <w:r>
        <w:rPr>
          <w:rFonts w:eastAsiaTheme="minorHAnsi"/>
          <w:lang w:eastAsia="en-US"/>
        </w:rPr>
        <w:t xml:space="preserve">, в системах теплоснабжения малоэтажных жилых домов и индивидуальных жилых домов муниципального образования - угля бурого, дров и электроэнергии. </w:t>
      </w:r>
      <w:r>
        <w:rPr>
          <w:rFonts w:eastAsiaTheme="minorEastAsia"/>
          <w:shd w:val="clear" w:color="auto" w:fill="ffffff"/>
        </w:rPr>
        <w:t xml:space="preserve"> Перевод всех систем теплоснабжения муниципального образования на другие виды топлива не прогнозируется. Формирование резервного, аварийного топлива, возобновляемых источников тепловой энергии на территории муниципального</w:t>
      </w:r>
      <w:r>
        <w:rPr>
          <w:rFonts w:eastAsiaTheme="minorEastAsia"/>
          <w:shd w:val="clear" w:color="auto" w:fill="ffffff"/>
        </w:rPr>
        <w:t xml:space="preserve"> образования не прогнозируется.</w:t>
      </w: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jc w:val="center"/>
        <w:widowControl w:val="off"/>
        <w:tabs>
          <w:tab w:val="left" w:pos="567" w:leader="none"/>
          <w:tab w:val="right" w:pos="9923" w:leader="dot"/>
        </w:tabs>
        <w:rPr>
          <w:rFonts w:eastAsiaTheme="majorEastAsia"/>
          <w:bCs/>
          <w:caps/>
          <w:szCs w:val="26"/>
        </w:rPr>
      </w:pP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contextualSpacing/>
        <w:jc w:val="center"/>
        <w:keepLines/>
        <w:keepNext/>
        <w:widowControl w:val="off"/>
        <w:rPr>
          <w:rFonts w:eastAsiaTheme="majorEastAsia"/>
          <w:bCs/>
          <w:caps/>
          <w:szCs w:val="26"/>
        </w:rPr>
      </w:pPr>
      <w:r/>
      <w:bookmarkStart w:id="126" w:name="_Toc149055656"/>
      <w:r>
        <w:rPr>
          <w:rFonts w:eastAsiaTheme="majorEastAsia"/>
          <w:bCs/>
          <w:caps/>
          <w:szCs w:val="26"/>
        </w:rPr>
        <w:t xml:space="preserve">ГЛАВА 11. ОЦЕНКА НАДЕЖНОСТИ ТЕПЛОСНАБЖЕНИЯ</w:t>
      </w:r>
      <w:bookmarkEnd w:id="126"/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27" w:name="_Toc149055657"/>
      <w:r>
        <w:rPr>
          <w:rFonts w:eastAsiaTheme="majorEastAsia"/>
          <w:bCs/>
        </w:rPr>
        <w:t xml:space="preserve">11.1. Обоснование метода и результатов обработки данных по отказам участков тепловых сетей (аварийным ситуациям), средней частоты отказов участков тепловых сетей (аварийных ситуаций) в каждой системе теплоснабжения</w:t>
      </w:r>
      <w:bookmarkEnd w:id="127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Тепловые сети </w:t>
      </w:r>
      <w:r>
        <w:rPr>
          <w:rFonts w:eastAsiaTheme="minorHAnsi"/>
          <w:lang w:eastAsia="en-US"/>
        </w:rPr>
        <w:t xml:space="preserve">Тайшетского городского поселения </w:t>
      </w:r>
      <w:r>
        <w:rPr>
          <w:rFonts w:eastAsiaTheme="minorEastAsia"/>
        </w:rPr>
        <w:t xml:space="preserve">состоят из не резервируемых участков.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В соответствии со СП 124.13330.2012 «Тепловые сети. Актуализирова</w:t>
      </w:r>
      <w:r>
        <w:rPr>
          <w:rFonts w:eastAsiaTheme="minorEastAsia"/>
        </w:rPr>
        <w:t xml:space="preserve">нная редакция СНиП 41-02-2003», надежность теплоснабжения определяется по способности проектируемых и действующих источников теплоты, тепловых сетей и в целом систем централизованного теплоснабжения обеспечивать в течение заданного времени требуемые режимы</w:t>
      </w:r>
      <w:r>
        <w:rPr>
          <w:rFonts w:eastAsiaTheme="minorEastAsia"/>
        </w:rPr>
        <w:t xml:space="preserve">, параметры и качество теплоснабжения (отопления, вентиляции, горячего водоснабжения, а также технологических потребностей предприятий в паре и горячей воде), обеспечивать нормативные показатели вероятности безотказной работы [Р], коэффициент готовности [К</w:t>
      </w:r>
      <w:r>
        <w:rPr>
          <w:rFonts w:eastAsiaTheme="minorEastAsia"/>
          <w:vertAlign w:val="subscript"/>
        </w:rPr>
        <w:t xml:space="preserve">г</w:t>
      </w:r>
      <w:r>
        <w:rPr>
          <w:rFonts w:eastAsiaTheme="minorEastAsia"/>
        </w:rPr>
        <w:t xml:space="preserve">], живучести [Ж]. Минимально допустимые показатели вероятности безотказной работы следует принимать для: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источника теплоты Р</w:t>
      </w:r>
      <w:r>
        <w:rPr>
          <w:rFonts w:eastAsiaTheme="minorEastAsia"/>
          <w:vertAlign w:val="subscript"/>
        </w:rPr>
        <w:t xml:space="preserve">ит</w:t>
      </w:r>
      <w:r>
        <w:rPr>
          <w:rFonts w:eastAsiaTheme="minorEastAsia"/>
        </w:rPr>
        <w:t xml:space="preserve"> = 0,97;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тепловых сетей Р</w:t>
      </w:r>
      <w:r>
        <w:rPr>
          <w:rFonts w:eastAsiaTheme="minorEastAsia"/>
          <w:vertAlign w:val="subscript"/>
        </w:rPr>
        <w:t xml:space="preserve">тс </w:t>
      </w:r>
      <w:r>
        <w:rPr>
          <w:rFonts w:eastAsiaTheme="minorEastAsia"/>
        </w:rPr>
        <w:t xml:space="preserve">= 0,9;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потребителя теплоты Р</w:t>
      </w:r>
      <w:r>
        <w:rPr>
          <w:rFonts w:eastAsiaTheme="minorEastAsia"/>
          <w:vertAlign w:val="subscript"/>
        </w:rPr>
        <w:t xml:space="preserve">пт</w:t>
      </w:r>
      <w:r>
        <w:rPr>
          <w:rFonts w:eastAsiaTheme="minorEastAsia"/>
        </w:rPr>
        <w:t xml:space="preserve"> = 0,99;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системы централизованного теплоснабжения в целом Р</w:t>
      </w:r>
      <w:r>
        <w:rPr>
          <w:rFonts w:eastAsiaTheme="minorEastAsia"/>
          <w:vertAlign w:val="subscript"/>
        </w:rPr>
        <w:t xml:space="preserve">сцт</w:t>
      </w:r>
      <w:r>
        <w:rPr>
          <w:rFonts w:eastAsiaTheme="minorEastAsia"/>
        </w:rPr>
        <w:t xml:space="preserve"> = 0,9 х 0,97 х 0,99 = 0,86.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Нормативные показатели безотказности тепловых сетей обеспечиваются мероприятиями: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установление предельно допустимой длины нерезервированных участков теплопроводов (тупиковых, радиальных, транзитных) до каждого потребителя или теплового пункта;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место размещения резервных трубопроводных связей между радиальными теплопроводами;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достаточность диаметров, выбираемых при проектировании новых или реконструируемых существующих теплопроводов для обеспечения резервной подачи теплоты потребителям при отказах;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очередность ремонтов и замен теплопроводов, частично или полностью утративших свой ресурс.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Готовность системы теплоснабжения к исправной работе в течение отопительного периода определяется по числу часов ожидания гот</w:t>
      </w:r>
      <w:r>
        <w:rPr>
          <w:rFonts w:eastAsiaTheme="minorEastAsia"/>
        </w:rPr>
        <w:t xml:space="preserve">овности: источника тепловой энергии, тепловых сетей, потребителей тепловой энергии, числу часов нерасчетных температур наружного воздуха в местности. Минимально допустимый показатель готовности системы централизованного теплоснабжения к исправной работе [К</w:t>
      </w:r>
      <w:r>
        <w:rPr>
          <w:rFonts w:eastAsiaTheme="minorEastAsia"/>
          <w:vertAlign w:val="subscript"/>
        </w:rPr>
        <w:t xml:space="preserve">г</w:t>
      </w:r>
      <w:r>
        <w:rPr>
          <w:rFonts w:eastAsiaTheme="minorEastAsia"/>
        </w:rPr>
        <w:t xml:space="preserve">] принимается равным 0,97.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Нормативные показатели готовности систем теплоснабжения обеспечиваются мероприятиями: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-готовность системы централизованного теплоснабжения к отопительному сезону;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достаточность установленной тепловой мощности источника тепловой энергии для обеспечения исправного функционирования системы централизованного теплоснабжения при нерасчетных похолоданиях;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способность тепловых сетей обеспечить исправное функционирование системы централизованного теплоснабжения при нерасчетных похолоданиях;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организационные, технические меры, необходимые для обеспечения исправного функционирования системы централизованного теплоснабжения на уровне заданной готовности;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максимально допустимые числа часов готовности для источника тепловой энергии.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Потребители тепловой энергии по надежности теплоснабжения делятся на три категории: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первая категория - потребители, не допускающие перерывов в подаче расчетного количества тепловой энергии и снижения температуры воздуха в помещениях, ниже </w:t>
      </w:r>
      <w:r>
        <w:rPr>
          <w:rFonts w:eastAsiaTheme="minorEastAsia"/>
        </w:rPr>
        <w:t xml:space="preserve">предусмотренных ГОСТ 30494-2011 «Здания жилые и общественные. Параметры микроклимата в помещениях»;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вторая категория - потребители, допускающие снижение температуры в отапливаемых помещениях на период ликвидации аварии, но не более 54 часов: жилых и общественных зданий до 12 °С; промышленных зданий до 8 °С.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tabs>
          <w:tab w:val="left" w:pos="993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Отказы на тепловых сетях </w:t>
      </w:r>
      <w:r>
        <w:rPr>
          <w:rFonts w:eastAsiaTheme="minorEastAsia"/>
          <w:shd w:val="clear" w:color="auto" w:fill="ffffff"/>
        </w:rPr>
        <w:t xml:space="preserve">муниципальных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</w:rPr>
        <w:t xml:space="preserve">, приведшие к нарушению теплоснабжения, в отчетном (базовом)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году не зарегистрированы.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28" w:name="_Toc149055658"/>
      <w:r>
        <w:rPr>
          <w:rFonts w:eastAsiaTheme="majorEastAsia"/>
          <w:bCs/>
        </w:rPr>
        <w:t xml:space="preserve">11.2. Обоснование ме</w:t>
      </w:r>
      <w:r>
        <w:rPr>
          <w:rFonts w:eastAsiaTheme="majorEastAsia"/>
          <w:bCs/>
        </w:rPr>
        <w:t xml:space="preserve">тода и результатов обработки данных по восстановлениям отказавших участков тепловых сетей (участков тепловых сетей, на которых произошли аварийные ситуации), среднего времени восстановления отказавших участков тепловых сетей в каждой системе теплоснабжения</w:t>
      </w:r>
      <w:bookmarkEnd w:id="128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В соответствии со СП 124.13330.2012 «Тепловые сети. Актуализированная редакция СНиП 41-02-2003», полное восстановление теплоснабжения при отказах на тепловых сетях осуществляется в сроки, указанные в Таблице 50.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right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Таблица 50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Время полного восстановления теплоснабжения при отказах на тепловых сетях</w:t>
      </w:r>
      <w:r>
        <w:rPr>
          <w:rFonts w:eastAsiaTheme="minorEastAsia"/>
        </w:rPr>
      </w:r>
      <w:r>
        <w:rPr>
          <w:rFonts w:eastAsiaTheme="minorEastAsia"/>
        </w:rPr>
      </w:r>
    </w:p>
    <w:tbl>
      <w:tblPr>
        <w:tblW w:w="9072" w:type="dxa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4253"/>
        <w:gridCol w:w="4819"/>
      </w:tblGrid>
      <w:tr>
        <w:tblPrEx/>
        <w:trPr/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Диаметр труб тепловых сетей, мм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481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Время восстановления теплоснабжения, часов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</w:tr>
      <w:tr>
        <w:tblPrEx/>
        <w:trPr/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300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481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15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</w:tr>
      <w:tr>
        <w:tblPrEx/>
        <w:trPr/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400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481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18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</w:tr>
      <w:tr>
        <w:tblPrEx/>
        <w:trPr/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500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481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22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</w:tr>
      <w:tr>
        <w:tblPrEx/>
        <w:trPr/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600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481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26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</w:tr>
      <w:tr>
        <w:tblPrEx/>
        <w:trPr/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700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481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29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</w:tr>
      <w:tr>
        <w:tblPrEx/>
        <w:trPr/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800-1000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481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40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</w:tr>
      <w:tr>
        <w:tblPrEx/>
        <w:trPr/>
        <w:tc>
          <w:tcPr>
            <w:tcW w:w="425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1200-1400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4819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до 54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</w:tr>
    </w:tbl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highlight w:val="none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  <w:highlight w:val="none"/>
        </w:rPr>
      </w:pPr>
      <w:r>
        <w:rPr>
          <w:rFonts w:eastAsiaTheme="minorEastAsia"/>
        </w:rPr>
        <w:t xml:space="preserve">Диаметры трубопроводов тепловых сетей </w:t>
      </w:r>
      <w:r>
        <w:rPr>
          <w:rFonts w:eastAsiaTheme="minorHAnsi"/>
          <w:lang w:eastAsia="en-US"/>
        </w:rPr>
        <w:t xml:space="preserve">Тайшетского городского поселения</w:t>
      </w:r>
      <w:r>
        <w:rPr>
          <w:rFonts w:eastAsiaTheme="minorEastAsia"/>
        </w:rPr>
        <w:t xml:space="preserve"> составляют 32-700</w:t>
      </w:r>
      <w:r>
        <w:rPr>
          <w:rFonts w:eastAsiaTheme="minorHAnsi"/>
          <w:lang w:eastAsia="en-US"/>
        </w:rPr>
        <w:t xml:space="preserve"> миллиметров</w:t>
      </w:r>
      <w:r>
        <w:rPr>
          <w:rFonts w:eastAsiaTheme="minorEastAsia"/>
        </w:rPr>
        <w:t xml:space="preserve">. Среднее время, затрачиваемое на полное восстановление работоспособности тепловых сетей муниципальных котельных при отказах, составляет 16-17 часов.</w:t>
      </w:r>
      <w:r>
        <w:rPr>
          <w:rFonts w:eastAsiaTheme="minorEastAsia"/>
          <w:highlight w:val="none"/>
        </w:rPr>
      </w:r>
      <w:r>
        <w:rPr>
          <w:rFonts w:eastAsiaTheme="minorEastAsia"/>
          <w:highlight w:val="none"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Время восстановления повреждений на тепловых сетях </w:t>
      </w:r>
      <w:r>
        <w:rPr>
          <w:rFonts w:eastAsiaTheme="minorHAnsi"/>
          <w:lang w:eastAsia="en-US"/>
        </w:rPr>
        <w:t xml:space="preserve">Тайшетского городского поселения</w:t>
      </w:r>
      <w:r>
        <w:rPr>
          <w:rFonts w:eastAsiaTheme="minorEastAsia"/>
        </w:rPr>
        <w:t xml:space="preserve"> соответствует нормам восстановления теплоснабжения, предусмотренных СП 124.13330.2012 «Тепловые сети. Актуализированная редакция СНиП 41-02-2003», которое указано в Таблице 50.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Увеличение времени полного восстановления теплоснабжения при отказах на тепловых сетях </w:t>
      </w:r>
      <w:r>
        <w:rPr>
          <w:rFonts w:eastAsiaTheme="minorHAnsi"/>
          <w:lang w:eastAsia="en-US"/>
        </w:rPr>
        <w:t xml:space="preserve">Тайшетского городского поселения</w:t>
      </w:r>
      <w:r>
        <w:rPr>
          <w:rFonts w:eastAsiaTheme="minorEastAsia"/>
        </w:rPr>
        <w:t xml:space="preserve"> на перспективу не прогнозируется.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29" w:name="_Toc149055659"/>
      <w:r>
        <w:rPr>
          <w:rFonts w:eastAsiaTheme="majorEastAsia"/>
          <w:bCs/>
        </w:rPr>
        <w:t xml:space="preserve">11.3. Обоснование результатов оценки вероятности отказа (аварийной ситуации) и безотказной (безаварийной) работы системы теплоснабжения по отношению к потребителям, присоединенным к магистральным и распределительным теплопроводам</w:t>
      </w:r>
      <w:bookmarkEnd w:id="129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Результат расчета средней вероятности безотказной работы системы теплоснабжения </w:t>
      </w:r>
      <w:r>
        <w:rPr>
          <w:rFonts w:eastAsiaTheme="minorEastAsia"/>
          <w:shd w:val="clear" w:color="auto" w:fill="ffffff"/>
        </w:rPr>
        <w:t xml:space="preserve">муниципальных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</w:rPr>
        <w:t xml:space="preserve"> по отношению к потребителям тепловой энергии составля</w:t>
      </w:r>
      <w:r>
        <w:rPr>
          <w:rFonts w:eastAsiaTheme="minorEastAsia"/>
        </w:rPr>
        <w:t xml:space="preserve">ет 0,86, что соответствует минимально допустимому показателю вероятности безотказной работы системы централизованного теплоснабжения в целом, предусмотренным СП 124.13330.2012 «Тепловые сети. Актуализированная редакция СНиП 41-02-2003», который равен 0,86.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30" w:name="_Toc149055660"/>
      <w:r>
        <w:rPr>
          <w:rFonts w:eastAsiaTheme="majorEastAsia"/>
          <w:bCs/>
        </w:rPr>
        <w:t xml:space="preserve">11.4. Обоснование результатов оценки коэффициентов готовности теплопроводов к несению тепловой нагрузки</w:t>
      </w:r>
      <w:bookmarkEnd w:id="130"/>
      <w:r>
        <w:rPr>
          <w:rFonts w:eastAsiaTheme="majorEastAsia"/>
          <w:bCs/>
        </w:rPr>
        <w:t xml:space="preserve">.</w:t>
      </w:r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rPr>
          <w:rFonts w:eastAsiaTheme="minorEastAsia"/>
        </w:rPr>
      </w:pPr>
      <w:r>
        <w:rPr>
          <w:rFonts w:eastAsiaTheme="minorEastAsia"/>
        </w:rPr>
        <w:t xml:space="preserve">В соответствии со СП 124.13330.2012 «Тепловые сети. Актуализированная редакция СНиП 41-02-2003», минимально допустимый коэффициент готовности системы централизованного теплоснабжения к исправной работе К</w:t>
      </w:r>
      <w:r>
        <w:rPr>
          <w:rFonts w:eastAsiaTheme="minorEastAsia"/>
          <w:vertAlign w:val="subscript"/>
        </w:rPr>
        <w:t xml:space="preserve">г</w:t>
      </w:r>
      <w:r>
        <w:rPr>
          <w:rFonts w:eastAsiaTheme="minorEastAsia"/>
        </w:rPr>
        <w:t xml:space="preserve"> принимается равным 0,97.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Готовность к исправной работе системы централизованного теплоснабжения определяется по уравнению: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К</w:t>
      </w:r>
      <w:r>
        <w:rPr>
          <w:rFonts w:eastAsiaTheme="minorEastAsia"/>
          <w:vertAlign w:val="subscript"/>
        </w:rPr>
        <w:t xml:space="preserve">г</w:t>
      </w:r>
      <w:r>
        <w:rPr>
          <w:rFonts w:eastAsiaTheme="minorEastAsia"/>
        </w:rPr>
        <w:t xml:space="preserve"> = (8760 - </w:t>
      </w:r>
      <w:r>
        <w:rPr>
          <w:rFonts w:eastAsiaTheme="minorEastAsia"/>
          <w:lang w:val="en-US"/>
        </w:rPr>
        <w:t xml:space="preserve">z</w:t>
      </w:r>
      <w:r>
        <w:rPr>
          <w:rFonts w:eastAsiaTheme="minorEastAsia"/>
          <w:vertAlign w:val="subscript"/>
        </w:rPr>
        <w:t xml:space="preserve">1</w:t>
      </w:r>
      <w:r>
        <w:rPr>
          <w:rFonts w:eastAsiaTheme="minorEastAsia"/>
        </w:rPr>
        <w:t xml:space="preserve"> - </w:t>
      </w:r>
      <w:r>
        <w:rPr>
          <w:rFonts w:eastAsiaTheme="minorEastAsia"/>
          <w:lang w:val="en-US"/>
        </w:rPr>
        <w:t xml:space="preserve">z</w:t>
      </w:r>
      <w:r>
        <w:rPr>
          <w:rFonts w:eastAsiaTheme="minorEastAsia"/>
          <w:vertAlign w:val="subscript"/>
        </w:rPr>
        <w:t xml:space="preserve">2</w:t>
      </w:r>
      <w:r>
        <w:rPr>
          <w:rFonts w:eastAsiaTheme="minorEastAsia"/>
        </w:rPr>
        <w:t xml:space="preserve"> - </w:t>
      </w:r>
      <w:r>
        <w:rPr>
          <w:rFonts w:eastAsiaTheme="minorEastAsia"/>
          <w:lang w:val="en-US"/>
        </w:rPr>
        <w:t xml:space="preserve">z</w:t>
      </w:r>
      <w:r>
        <w:rPr>
          <w:rFonts w:eastAsiaTheme="minorEastAsia"/>
          <w:vertAlign w:val="subscript"/>
        </w:rPr>
        <w:t xml:space="preserve">3</w:t>
      </w:r>
      <w:r>
        <w:rPr>
          <w:rFonts w:eastAsiaTheme="minorEastAsia"/>
        </w:rPr>
        <w:t xml:space="preserve"> - </w:t>
      </w:r>
      <w:r>
        <w:rPr>
          <w:rFonts w:eastAsiaTheme="minorEastAsia"/>
          <w:lang w:val="en-US"/>
        </w:rPr>
        <w:t xml:space="preserve">z</w:t>
      </w:r>
      <w:r>
        <w:rPr>
          <w:rFonts w:eastAsiaTheme="minorEastAsia"/>
          <w:vertAlign w:val="subscript"/>
        </w:rPr>
        <w:t xml:space="preserve">4</w:t>
      </w:r>
      <w:r>
        <w:rPr>
          <w:rFonts w:eastAsiaTheme="minorEastAsia"/>
        </w:rPr>
        <w:t xml:space="preserve">) / 8760,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где: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  <w:tab w:val="left" w:pos="1134" w:leader="none"/>
        </w:tabs>
        <w:rPr>
          <w:rFonts w:eastAsiaTheme="minorEastAsia"/>
        </w:rPr>
      </w:pPr>
      <w:r>
        <w:rPr>
          <w:rFonts w:eastAsiaTheme="minorEastAsia"/>
          <w:lang w:val="en-US"/>
        </w:rPr>
        <w:t xml:space="preserve">z</w:t>
      </w:r>
      <w:r>
        <w:rPr>
          <w:rFonts w:eastAsiaTheme="minorEastAsia"/>
          <w:vertAlign w:val="subscript"/>
        </w:rPr>
        <w:t xml:space="preserve">1</w:t>
      </w:r>
      <w:r>
        <w:rPr>
          <w:rFonts w:eastAsiaTheme="minorEastAsia"/>
        </w:rPr>
        <w:t xml:space="preserve"> - число ч</w:t>
      </w:r>
      <w:r>
        <w:rPr>
          <w:rFonts w:eastAsiaTheme="minorEastAsia"/>
        </w:rPr>
        <w:t xml:space="preserve">асов ожидания неготовности системы централизованного теплоснабжения в период стояния нерасчетных температур наружного воздуха в местности. Определяется по климатологическим данным с учетом способности системы обеспечивать заданную температуру в помещениях;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  <w:tab w:val="left" w:pos="1134" w:leader="none"/>
        </w:tabs>
        <w:rPr>
          <w:rFonts w:eastAsiaTheme="minorEastAsia"/>
        </w:rPr>
      </w:pPr>
      <w:r>
        <w:rPr>
          <w:rFonts w:eastAsiaTheme="minorEastAsia"/>
          <w:lang w:val="en-US"/>
        </w:rPr>
        <w:t xml:space="preserve">z</w:t>
      </w:r>
      <w:r>
        <w:rPr>
          <w:rFonts w:eastAsiaTheme="minorEastAsia"/>
          <w:vertAlign w:val="subscript"/>
        </w:rPr>
        <w:t xml:space="preserve">2</w:t>
      </w:r>
      <w:r>
        <w:rPr>
          <w:rFonts w:eastAsiaTheme="minorEastAsia"/>
        </w:rPr>
        <w:t xml:space="preserve"> - </w:t>
      </w:r>
      <w:r>
        <w:rPr>
          <w:rFonts w:eastAsiaTheme="minorHAnsi"/>
          <w:lang w:eastAsia="en-US"/>
        </w:rPr>
        <w:t xml:space="preserve">число часов ожидания неготовности источника тепловой энергии. Принимается по среднестатистическим данным z</w:t>
      </w:r>
      <w:r>
        <w:rPr>
          <w:rFonts w:eastAsiaTheme="minorHAnsi"/>
          <w:vertAlign w:val="subscript"/>
          <w:lang w:eastAsia="en-US"/>
        </w:rPr>
        <w:t xml:space="preserve">2</w:t>
      </w:r>
      <w:r>
        <w:rPr>
          <w:rFonts w:eastAsiaTheme="minorHAnsi"/>
          <w:lang w:eastAsia="en-US"/>
        </w:rPr>
        <w:t xml:space="preserve"> ≤ 50 часов;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709" w:leader="none"/>
          <w:tab w:val="left" w:pos="993" w:leader="none"/>
          <w:tab w:val="left" w:pos="1134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lang w:val="en-US"/>
        </w:rPr>
        <w:t xml:space="preserve">z</w:t>
      </w:r>
      <w:r>
        <w:rPr>
          <w:rFonts w:eastAsiaTheme="minorEastAsia"/>
          <w:vertAlign w:val="subscript"/>
        </w:rPr>
        <w:t xml:space="preserve">3</w:t>
      </w:r>
      <w:r>
        <w:rPr>
          <w:rFonts w:eastAsiaTheme="minorEastAsia"/>
        </w:rPr>
        <w:t xml:space="preserve"> - число часов ожидания неготовности тепловых сетей;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709" w:leader="none"/>
          <w:tab w:val="left" w:pos="993" w:leader="none"/>
          <w:tab w:val="left" w:pos="1134" w:leader="none"/>
          <w:tab w:val="left" w:pos="1418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  <w:lang w:val="en-US"/>
        </w:rPr>
        <w:t xml:space="preserve">z</w:t>
      </w:r>
      <w:r>
        <w:rPr>
          <w:rFonts w:eastAsiaTheme="minorEastAsia"/>
          <w:vertAlign w:val="subscript"/>
        </w:rPr>
        <w:t xml:space="preserve">4 </w:t>
      </w:r>
      <w:r>
        <w:rPr>
          <w:rFonts w:eastAsiaTheme="minorEastAsia"/>
        </w:rPr>
        <w:t xml:space="preserve">- </w:t>
      </w:r>
      <w:r>
        <w:rPr>
          <w:rFonts w:eastAsiaTheme="minorHAnsi"/>
          <w:lang w:eastAsia="en-US"/>
        </w:rPr>
        <w:t xml:space="preserve">число часов ожидания неготовности абонента. Принимается по среднестатистическим</w:t>
      </w:r>
      <w:r>
        <w:rPr>
          <w:rFonts w:eastAsiaTheme="minorEastAsia"/>
        </w:rPr>
        <w:t xml:space="preserve"> </w:t>
      </w:r>
      <w:r>
        <w:rPr>
          <w:rFonts w:eastAsiaTheme="minorHAnsi"/>
          <w:lang w:eastAsia="en-US"/>
        </w:rPr>
        <w:t xml:space="preserve">данным z</w:t>
      </w:r>
      <w:r>
        <w:rPr>
          <w:rFonts w:eastAsiaTheme="minorHAnsi"/>
          <w:vertAlign w:val="subscript"/>
          <w:lang w:eastAsia="en-US"/>
        </w:rPr>
        <w:t xml:space="preserve">4</w:t>
      </w:r>
      <w:r>
        <w:rPr>
          <w:rFonts w:eastAsiaTheme="minorHAnsi"/>
          <w:lang w:eastAsia="en-US"/>
        </w:rPr>
        <w:t xml:space="preserve"> ≤ 10 часов.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993" w:leader="none"/>
          <w:tab w:val="left" w:pos="1134" w:leader="none"/>
          <w:tab w:val="left" w:pos="1418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В результате проведенного анализа установлено, что коэффициент готовности к исправной работе систем теплоснабжения </w:t>
      </w:r>
      <w:r>
        <w:rPr>
          <w:rFonts w:eastAsiaTheme="minorEastAsia"/>
          <w:shd w:val="clear" w:color="auto" w:fill="ffffff"/>
        </w:rPr>
        <w:t xml:space="preserve">муниципальных </w:t>
      </w:r>
      <w:r>
        <w:rPr>
          <w:rFonts w:eastAsiaTheme="minorHAnsi"/>
          <w:lang w:eastAsia="en-US"/>
        </w:rPr>
        <w:t xml:space="preserve">котельных Тайшетского городского поселения</w:t>
      </w:r>
      <w:r>
        <w:rPr>
          <w:rFonts w:eastAsiaTheme="minorEastAsia"/>
        </w:rPr>
        <w:t xml:space="preserve"> соответствует нормативу, на перспективу тепловые сети муниципальных котельных сохранят резерв по пропускной способности, позволяющей обеспечить тепловой энергией потребителей.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31" w:name="_Toc149055661"/>
      <w:r>
        <w:rPr>
          <w:rFonts w:eastAsiaTheme="majorEastAsia"/>
          <w:bCs/>
        </w:rPr>
        <w:t xml:space="preserve">11.5. Обоснование результатов оценки недоотпуска тепловой энергии по причине отказов (аварийных ситуаций) и простоев тепловых сетей и источников тепловой энергии</w:t>
      </w:r>
      <w:bookmarkEnd w:id="131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соответствии с Методическими рекомендациями по разработке схем теплоснабжения, утвержденными Приказом Министерства энергетики Российской Федерации от 29 декабря 2012 года № 565/667, показателем, определя</w:t>
      </w:r>
      <w:r>
        <w:rPr>
          <w:rFonts w:eastAsiaTheme="minorHAnsi"/>
          <w:lang w:eastAsia="en-US"/>
        </w:rPr>
        <w:t xml:space="preserve">емым приведённым объёмом недоотпуска тепловой энергии в результате нарушений в подаче тепловой энергии, является показатель относительного аварийного недоотпуска тепловой энергии в результате внеплановых отключений теплопотребляющих установок потребителей.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widowControl w:val="off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На перспективу показатели надежности теплоснабжения характеризуют системы теплоснабжения </w:t>
      </w:r>
      <w:r>
        <w:rPr>
          <w:rFonts w:eastAsiaTheme="minorEastAsia"/>
          <w:shd w:val="clear" w:color="auto" w:fill="ffffff"/>
        </w:rPr>
        <w:t xml:space="preserve">муниципальных </w:t>
      </w:r>
      <w:r>
        <w:rPr>
          <w:rFonts w:eastAsiaTheme="minorHAnsi"/>
          <w:lang w:eastAsia="en-US"/>
        </w:rPr>
        <w:t xml:space="preserve">котельных Тайшетского городского поселения, как надежные системы теплоснабжения.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widowControl w:val="off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Применение в </w:t>
      </w:r>
      <w:r>
        <w:rPr>
          <w:rFonts w:eastAsiaTheme="minorEastAsia"/>
          <w:shd w:val="clear" w:color="auto" w:fill="ffffff"/>
        </w:rPr>
        <w:t xml:space="preserve">муниципальных </w:t>
      </w:r>
      <w:r>
        <w:rPr>
          <w:rFonts w:eastAsiaTheme="minorHAnsi"/>
          <w:lang w:eastAsia="en-US"/>
        </w:rPr>
        <w:t xml:space="preserve">котельных Тайшетского городского поселения рациональ</w:t>
      </w:r>
      <w:r>
        <w:rPr>
          <w:rFonts w:eastAsiaTheme="minorHAnsi"/>
          <w:lang w:eastAsia="en-US"/>
        </w:rPr>
        <w:t xml:space="preserve">ных тепловых схем с дублированными связями и новых технологий, обеспечивающих готовность энергетического оборудования, установка резервного оборудования, устройство резервных насосных станций, установка баков-аккумуляторов на перспективу не прогнозируется.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widowControl w:val="off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widowControl w:val="off"/>
        <w:rPr>
          <w:rFonts w:eastAsiaTheme="majorEastAsia"/>
          <w:bCs/>
          <w:caps/>
          <w:szCs w:val="26"/>
        </w:rPr>
      </w:pPr>
      <w:r>
        <w:rPr>
          <w:rFonts w:eastAsiaTheme="majorEastAsia"/>
          <w:bCs/>
          <w:caps/>
          <w:szCs w:val="26"/>
        </w:rPr>
        <w:t xml:space="preserve">ГЛАВА 12. ОБОСНОВАНИЕ ИНВЕСТИЦИЙ В СТРОИТЕЛЬСТВО, РЕКОНСТРУКЦИЮ, ТЕХНИЧЕСКОЕ ПЕРЕВООРУЖЕНИЕ И МОДЕРНИЗАЦИЮ</w:t>
      </w: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32" w:name="_Toc149055662"/>
      <w:r>
        <w:rPr>
          <w:rFonts w:eastAsiaTheme="majorEastAsia"/>
          <w:bCs/>
        </w:rPr>
        <w:t xml:space="preserve">12.1. Оценка финансовых потребностей для осуществления строительства, реконструкции, технического перевооружения и модернизации источников тепловой энергии и тепловых сетей</w:t>
      </w:r>
      <w:bookmarkEnd w:id="132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Величина планируемых инвестиций в реконструкцию, модернизацию муниципальных котельных Тайшетского городского поселения и реконструкцию тепловых сетей на перспективу представлена в Таблице 51 и 52 соответственно.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Расчет оценки объемов капитальных вложений в реконструкцию, модернизацию муниципальных котельных Тайшетского городского поселения и реконструкцию тепловых сетей выполнен на основе показателей, представленных </w:t>
      </w:r>
      <w:r>
        <w:rPr>
          <w:rFonts w:eastAsiaTheme="minorHAnsi"/>
          <w:lang w:eastAsia="en-US"/>
        </w:rPr>
        <w:t xml:space="preserve">администрацией Тайшетского городского поселения</w:t>
      </w:r>
      <w:r>
        <w:rPr>
          <w:rFonts w:eastAsiaTheme="minorEastAsia"/>
        </w:rPr>
        <w:t xml:space="preserve">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</w:pPr>
      <w:r>
        <w:rPr>
          <w:rFonts w:eastAsiaTheme="minorEastAsia"/>
        </w:rPr>
        <w:t xml:space="preserve">В таблице 53 приведена сводная стоимость </w:t>
      </w:r>
      <w:r>
        <w:t xml:space="preserve">инвестиций в строительство, реконструкцию и техническое перевооружение источников тепловой энергии, тепловых сетей,</w:t>
      </w:r>
      <w:r>
        <w:rPr>
          <w:bCs/>
          <w:shd w:val="clear" w:color="auto" w:fill="ffffff"/>
        </w:rPr>
        <w:t xml:space="preserve"> насосных станций и тепловых пунктов</w:t>
      </w:r>
      <w:r>
        <w:t xml:space="preserve"> Тайшетского городского поселения.</w:t>
      </w:r>
      <w:r/>
    </w:p>
    <w:p>
      <w:pPr>
        <w:ind w:firstLine="709"/>
        <w:jc w:val="both"/>
        <w:tabs>
          <w:tab w:val="left" w:pos="0" w:leader="none"/>
          <w:tab w:val="left" w:pos="567" w:leader="none"/>
          <w:tab w:val="right" w:pos="9923" w:leader="dot"/>
        </w:tabs>
      </w:pPr>
      <w:r>
        <w:t xml:space="preserve">На территории Тайшетского городского поселения так же размещены следующие объекты теплоснабжения (модульные котельные), отапливающие социально значимые объекты, находящиеся в муниципальной собственности муниципального образования «Тайшетский район»:</w:t>
      </w:r>
      <w:r/>
    </w:p>
    <w:p>
      <w:pPr>
        <w:ind w:firstLine="709"/>
        <w:jc w:val="both"/>
        <w:widowControl w:val="off"/>
      </w:pPr>
      <w:r>
        <w:t xml:space="preserve">котельная № 9, расположена по адресу: город Тайшет, улица Воинов-интернационалистов, 109;</w:t>
      </w:r>
      <w:r/>
    </w:p>
    <w:p>
      <w:pPr>
        <w:ind w:firstLine="709"/>
        <w:jc w:val="both"/>
        <w:widowControl w:val="off"/>
      </w:pPr>
      <w:r>
        <w:t xml:space="preserve">котельная № 11, расположена по адресу: город Тайшет, улица Ивана Бича, l/l;</w:t>
      </w:r>
      <w:r/>
    </w:p>
    <w:p>
      <w:pPr>
        <w:ind w:firstLine="709"/>
        <w:jc w:val="both"/>
        <w:widowControl w:val="off"/>
      </w:pPr>
      <w:r>
        <w:t xml:space="preserve">котельная МБУДО «Центр дополнительного образования «Радуга», расположена по адресу: город Тайшет, улица Ленина, здание 113, помещение 2Н;</w:t>
      </w:r>
      <w:r/>
    </w:p>
    <w:p>
      <w:pPr>
        <w:ind w:firstLine="709"/>
        <w:jc w:val="both"/>
        <w:widowControl w:val="off"/>
      </w:pPr>
      <w:r>
        <w:t xml:space="preserve">котельная № 12, расположена по адресу город Тайшет, улица Чапаева, 1/1;</w:t>
      </w:r>
      <w:r/>
    </w:p>
    <w:p>
      <w:pPr>
        <w:ind w:firstLine="709"/>
        <w:jc w:val="both"/>
        <w:widowControl w:val="off"/>
      </w:pPr>
      <w:r>
        <w:t xml:space="preserve">котельная № 6, расположена по адресу: город Тайшет, улица Советская, 39/1;</w:t>
      </w:r>
      <w:r/>
    </w:p>
    <w:p>
      <w:pPr>
        <w:ind w:firstLine="709"/>
        <w:jc w:val="both"/>
        <w:widowControl w:val="off"/>
      </w:pPr>
      <w:r>
        <w:t xml:space="preserve">котельная № 13, расположена по адресу: город Тайшет, улица 19 партсъезда, 3/3;</w:t>
      </w:r>
      <w:r/>
    </w:p>
    <w:p>
      <w:pPr>
        <w:ind w:firstLine="709"/>
        <w:jc w:val="both"/>
        <w:widowControl w:val="off"/>
      </w:pPr>
      <w:r>
        <w:t xml:space="preserve">котельная № 31, расположена по адресу: город Тайшет, улица Октябрьская, 86.</w:t>
      </w:r>
      <w:r/>
    </w:p>
    <w:p>
      <w:pPr>
        <w:ind w:firstLine="709"/>
        <w:jc w:val="both"/>
        <w:widowControl w:val="off"/>
      </w:pPr>
      <w:r>
        <w:t xml:space="preserve">Администрацией Тайшетского района в отношении данных объектов тепло</w:t>
      </w:r>
      <w:r>
        <w:t xml:space="preserve">снабжения планируется заключение концессионного соглашения. В соответствии с Федеральным законом «О концессионных соглашениях», задание и основные мероприятия по концессионному соглашению формируются на основании утвержденных схем теплоснабжения поселений.</w:t>
      </w:r>
      <w:r/>
    </w:p>
    <w:p>
      <w:pPr>
        <w:ind w:firstLine="709"/>
        <w:jc w:val="both"/>
        <w:widowControl w:val="off"/>
      </w:pPr>
      <w:r>
        <w:t xml:space="preserve">С целью повышения эффективности работы систем теплоснабжения объектов, отапливаемых от котельных муниципального образования «Тайшетский район», рекомендуется выполнить мероприятия, перечень и объем инвестиций в которые приведены в Таблице 50.1</w:t>
      </w:r>
      <w:r/>
    </w:p>
    <w:p>
      <w:pPr>
        <w:jc w:val="right"/>
        <w:tabs>
          <w:tab w:val="left" w:pos="0" w:leader="none"/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Таблица 50.1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  <w:t xml:space="preserve">Объем инвестиций для технического перевооружения источников тепловой энергии</w:t>
      </w:r>
      <w:r>
        <w:t xml:space="preserve"> муниципального образования «Тайшетский район»,</w:t>
      </w:r>
      <w:r>
        <w:rPr>
          <w:shd w:val="clear" w:color="auto" w:fill="ffffff"/>
        </w:rPr>
        <w:t xml:space="preserve"> с целью повышения эффективности работы систем теплоснабжения</w:t>
      </w:r>
      <w:r>
        <w:rPr>
          <w:shd w:val="clear" w:color="auto" w:fill="ffffff"/>
        </w:rPr>
      </w:r>
      <w:r>
        <w:rPr>
          <w:shd w:val="clear" w:color="auto" w:fill="ffffff"/>
        </w:rPr>
      </w:r>
    </w:p>
    <w:tbl>
      <w:tblPr>
        <w:tblW w:w="4919" w:type="pct"/>
        <w:tblInd w:w="74" w:type="dxa"/>
        <w:tblLayout w:type="fixed"/>
        <w:tblCellMar>
          <w:left w:w="74" w:type="dxa"/>
          <w:top w:w="2" w:type="dxa"/>
          <w:right w:w="82" w:type="dxa"/>
        </w:tblCellMar>
        <w:tblLook w:val="04A0" w:firstRow="1" w:lastRow="0" w:firstColumn="1" w:lastColumn="0" w:noHBand="0" w:noVBand="1"/>
      </w:tblPr>
      <w:tblGrid>
        <w:gridCol w:w="571"/>
        <w:gridCol w:w="1557"/>
        <w:gridCol w:w="4498"/>
        <w:gridCol w:w="1053"/>
        <w:gridCol w:w="1677"/>
      </w:tblGrid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0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№ п/п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32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2275" w:leader="none"/>
              </w:tabs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Объект теплоснабжения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404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Описание и основные характеристики мероприятия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56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Срок реализации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9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t xml:space="preserve">Планируемая потребность в финансовых средствах</w:t>
            </w:r>
            <w:r>
              <w:rPr>
                <w:rFonts w:eastAsiaTheme="minorHAnsi"/>
                <w:lang w:eastAsia="en-US"/>
              </w:rPr>
              <w:t xml:space="preserve">, рублей (с учетом НДС)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0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1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32" w:type="pct"/>
            <w:textDirection w:val="lrTb"/>
            <w:noWrap w:val="false"/>
          </w:tcPr>
          <w:p>
            <w:pPr>
              <w:tabs>
                <w:tab w:val="right" w:pos="2275" w:leader="none"/>
              </w:tabs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Котельная №11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404" w:type="pct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Приобретение, монтаж двух энергосберегающих сетевых насосов; монтаж теплообменного оборудования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56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2023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9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574175,0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</w:tr>
      <w:tr>
        <w:tblPrEx/>
        <w:trPr>
          <w:trHeight w:val="843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0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2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32" w:type="pct"/>
            <w:textDirection w:val="lrTb"/>
            <w:noWrap w:val="false"/>
          </w:tcPr>
          <w:p>
            <w:pPr>
              <w:tabs>
                <w:tab w:val="right" w:pos="2275" w:leader="none"/>
              </w:tabs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Котельная МБУДО «ЦДО «Радуга»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404" w:type="pct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Приобретение и монтаж энергосберегающего сетевого насоса; монтаж теплообменного оборудования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56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2030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9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361938,0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0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3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32" w:type="pct"/>
            <w:textDirection w:val="lrTb"/>
            <w:noWrap w:val="false"/>
          </w:tcPr>
          <w:p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Котельная № 31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404" w:type="pct"/>
            <w:vAlign w:val="center"/>
            <w:textDirection w:val="lrTb"/>
            <w:noWrap w:val="false"/>
          </w:tcPr>
          <w:p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Приобретение и монтаж двух энергосберегающих сетевых насосов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56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2026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9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424463,0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</w:tr>
      <w:tr>
        <w:tblPrEx/>
        <w:trPr>
          <w:trHeight w:val="41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05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4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32" w:type="pct"/>
            <w:textDirection w:val="lrTb"/>
            <w:noWrap w:val="false"/>
          </w:tcPr>
          <w:p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Котельная №12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404" w:type="pct"/>
            <w:textDirection w:val="lrTb"/>
            <w:noWrap w:val="false"/>
          </w:tcPr>
          <w:p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Приобретение и монтаж двух энергосберегающих сетевых насосов; монтаж теплообменного оборудования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563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2024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97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504809,0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0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5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32" w:type="pct"/>
            <w:textDirection w:val="lrTb"/>
            <w:noWrap w:val="false"/>
          </w:tcPr>
          <w:p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Котельная №6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404" w:type="pct"/>
            <w:textDirection w:val="lrTb"/>
            <w:noWrap w:val="false"/>
          </w:tcPr>
          <w:p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Приобретение и монтаж водогрейного котла 0,63 Гкал/ч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56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2030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9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791934,0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0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6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32" w:type="pct"/>
            <w:textDirection w:val="lrTb"/>
            <w:noWrap w:val="false"/>
          </w:tcPr>
          <w:p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Котельная № 13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404" w:type="pct"/>
            <w:textDirection w:val="lrTb"/>
            <w:noWrap w:val="false"/>
          </w:tcPr>
          <w:p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Приобретение и монтаж двух энергосберегающих сетевых насосов; монтаж теплообменного оборудования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56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2024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9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455268,0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0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7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32" w:type="pct"/>
            <w:textDirection w:val="lrTb"/>
            <w:noWrap w:val="false"/>
          </w:tcPr>
          <w:p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Котельная №14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404" w:type="pct"/>
            <w:textDirection w:val="lrTb"/>
            <w:noWrap w:val="false"/>
          </w:tcPr>
          <w:p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Приобретение и монтаж двух энергосберегающих сетевых насосов; монтаж теплообменного оборудования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56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2030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9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504809,0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gridSpan w:val="4"/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4103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Итого по муниципальному образованию </w:t>
            </w:r>
            <w:r>
              <w:t xml:space="preserve">«Тайшетский район»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97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3617396,0</w:t>
            </w:r>
            <w:r>
              <w:rPr>
                <w:rFonts w:eastAsiaTheme="minorHAnsi"/>
                <w:lang w:eastAsia="en-US"/>
              </w:rPr>
            </w:r>
            <w:r>
              <w:rPr>
                <w:rFonts w:eastAsiaTheme="minorHAnsi"/>
                <w:lang w:eastAsia="en-US"/>
              </w:rPr>
            </w:r>
          </w:p>
        </w:tc>
      </w:tr>
    </w:tbl>
    <w:p>
      <w:pPr>
        <w:jc w:val="both"/>
        <w:tabs>
          <w:tab w:val="left" w:pos="0" w:leader="none"/>
          <w:tab w:val="left" w:pos="567" w:leader="none"/>
          <w:tab w:val="right" w:pos="9923" w:leader="dot"/>
        </w:tabs>
        <w:rPr>
          <w:shd w:val="clear" w:color="auto" w:fill="ffffff"/>
        </w:rPr>
      </w:pPr>
      <w:r>
        <w:rPr>
          <w:shd w:val="clear" w:color="auto" w:fill="ffffff"/>
        </w:rPr>
      </w:r>
      <w:r>
        <w:rPr>
          <w:shd w:val="clear" w:color="auto" w:fill="ffffff"/>
        </w:rPr>
      </w:r>
      <w:r>
        <w:rPr>
          <w:shd w:val="clear" w:color="auto" w:fill="ffffff"/>
        </w:rPr>
      </w:r>
    </w:p>
    <w:p>
      <w:pPr>
        <w:ind w:firstLine="709"/>
        <w:jc w:val="both"/>
        <w:tabs>
          <w:tab w:val="left" w:pos="0" w:leader="none"/>
          <w:tab w:val="left" w:pos="567" w:leader="none"/>
          <w:tab w:val="right" w:pos="9923" w:leader="dot"/>
        </w:tabs>
      </w:pPr>
      <w:r>
        <w:rPr>
          <w:shd w:val="clear" w:color="auto" w:fill="ffffff"/>
        </w:rPr>
        <w:t xml:space="preserve">Сводная стоимость инвестиций для технического перевооружения источников тепловой энергии</w:t>
      </w:r>
      <w:r>
        <w:t xml:space="preserve"> муниципального образования «Тайшетский район», расположенных на территории Тайшетского городского поселения, </w:t>
      </w:r>
      <w:r>
        <w:rPr>
          <w:rFonts w:eastAsiaTheme="minorEastAsia"/>
        </w:rPr>
        <w:t xml:space="preserve">приведена в Таблице 53</w:t>
      </w:r>
      <w:r>
        <w:t xml:space="preserve">.1</w:t>
      </w:r>
      <w:r/>
    </w:p>
    <w:p>
      <w:pPr>
        <w:jc w:val="right"/>
        <w:tabs>
          <w:tab w:val="left" w:pos="709" w:leader="none"/>
          <w:tab w:val="right" w:pos="9923" w:leader="dot"/>
        </w:tabs>
        <w:rPr>
          <w:rFonts w:eastAsiaTheme="minorEastAsia"/>
        </w:rPr>
        <w:sectPr>
          <w:footnotePr/>
          <w:endnotePr/>
          <w:type w:val="nextPage"/>
          <w:pgSz w:w="11906" w:h="16838" w:orient="portrait"/>
          <w:pgMar w:top="1134" w:right="851" w:bottom="1134" w:left="1701" w:header="340" w:footer="0" w:gutter="0"/>
          <w:cols w:num="1" w:sep="0" w:space="708" w:equalWidth="1"/>
          <w:docGrid w:linePitch="360"/>
          <w:titlePg/>
        </w:sectPr>
      </w:pPr>
      <w:r>
        <w:rPr>
          <w:rFonts w:eastAsiaTheme="minorEastAsia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right"/>
        <w:tabs>
          <w:tab w:val="left" w:pos="709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EastAsia"/>
          <w:color w:val="auto"/>
        </w:rPr>
        <w:t xml:space="preserve">Таблица 51</w:t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p>
      <w:pPr>
        <w:jc w:val="center"/>
        <w:tabs>
          <w:tab w:val="left" w:pos="709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EastAsia"/>
          <w:color w:val="auto"/>
        </w:rPr>
        <w:t xml:space="preserve">Величина планируемых инвестиций в реконструкцию, модернизацию муниципальных котельных Тайшетского городского поселения</w:t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tbl>
      <w:tblPr>
        <w:tblW w:w="15689" w:type="dxa"/>
        <w:tblInd w:w="113" w:type="dxa"/>
        <w:tblLook w:val="04A0" w:firstRow="1" w:lastRow="0" w:firstColumn="1" w:lastColumn="0" w:noHBand="0" w:noVBand="1"/>
      </w:tblPr>
      <w:tblGrid>
        <w:gridCol w:w="1877"/>
        <w:gridCol w:w="4412"/>
        <w:gridCol w:w="18"/>
        <w:gridCol w:w="968"/>
        <w:gridCol w:w="18"/>
        <w:gridCol w:w="753"/>
        <w:gridCol w:w="18"/>
        <w:gridCol w:w="760"/>
        <w:gridCol w:w="7"/>
        <w:gridCol w:w="12"/>
        <w:gridCol w:w="759"/>
        <w:gridCol w:w="19"/>
        <w:gridCol w:w="759"/>
        <w:gridCol w:w="19"/>
        <w:gridCol w:w="912"/>
        <w:gridCol w:w="19"/>
        <w:gridCol w:w="867"/>
        <w:gridCol w:w="19"/>
        <w:gridCol w:w="864"/>
        <w:gridCol w:w="7"/>
        <w:gridCol w:w="12"/>
        <w:gridCol w:w="967"/>
        <w:gridCol w:w="19"/>
        <w:gridCol w:w="857"/>
        <w:gridCol w:w="19"/>
        <w:gridCol w:w="715"/>
        <w:gridCol w:w="7"/>
        <w:gridCol w:w="6"/>
      </w:tblGrid>
      <w:tr>
        <w:tblPrEx/>
        <w:trPr>
          <w:gridAfter w:val="1"/>
          <w:trHeight w:val="21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№ п/п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Наименование мероприятия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5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9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Планируемая потребность в финансовых средствах, тысяч рублей без учета НДС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315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98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Итого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5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Базовый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425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Первый 5-летний период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7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25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Последующие 5-летние периоды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81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98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2030-2034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2035-2039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2040-2041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15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Котельные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15"/>
        </w:trPr>
        <w:tc>
          <w:tcPr>
            <w:gridSpan w:val="3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307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1. Котельная № 1 (ТКСИ)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898662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5887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9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12937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54663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25839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95256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134666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112908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330090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126417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2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электрооборудования котельной: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80229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2141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33532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44555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оборудования подстанции ТП-15-2/1600 (06379) 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80229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33532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44555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контрольно-измерительных приборов и автоматики котлов 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0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Дооборудование котельной 1-ой очереди автоматическими системами, обеспечивающими пожарную безопасность в соответствии с действующими нормами и правилами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12620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12620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ОПО. Котельная №1 первой очереди (12). Техническое перевооружение агрегата КЕ25-14 ст.№2 со вспомогательным оборудованием на котельной №1 (ТКСИ) (инвентарный №1000062)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77184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14155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15573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47456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ОПО. Котельная №1 первой очереди (12). Модернизация группы сетевых подогревателей с установкой подогревателей типа ПСВ-90-7-15 количестве 2 штук.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25150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1688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8569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14893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системы очистки сточных вод котельной 1-ой очереди с возможностью распространения основных технических решений на прочие теплоисточники ОП «ТТС» АО «Байкалэнерго»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114349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10266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12227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насоса ЦН 400/105 ст.№ 26 с установкой ЧРП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4941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922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4019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котельного агрегата КЕ-25-14 станционный № 3 для восстановления располагаемой мощности котельной № 1 и обеспечения перспективных нагрузок.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126417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126417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ОПО. Котельная №1 первой очереди (12). Модернизация прямого и обратного коллекторов группы сетевых насосов котельной №1 с целью увеличения пропускной способности для обеспечения перспективных нагрузок.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25758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1365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1875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22518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автотракторного бокса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35659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5659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железнодорожного пути необщего пользования, расположенного по адресу город Тайшет, улица Индустриальная, 3/9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оборудования здания дробильного отделения с 3-мя узлами пересыпки город Тайшет, улица Индустриальная, 3/2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здания дробильного отделения с 3-мя узлами пересыпки город Тайшет, улица Индустриальная, 3/2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здания гаража (пристрой к АБК)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30978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30978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"Реконструкция системы видеонаблюдения территории котельной 1-й очереди г. Тайшет, ул. Индустриальная, 3/1 (инв.№ 100004)""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1226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974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05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резервуара металлического (Бак аккумуляторный У-700), Котельной №1 (ТКСИ) (инв.№ 10027- Бак аккумуляторный У-700 м3)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44301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2123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42178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"Модернизация наружного освещения периметра котельной 1-й очереди г. Тайшет, ул. Индустриальная, 3/1 ОП "ТТС" АО "Байкалэнерго (инв.№ 100004)""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2601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2422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оборудования химлаборатории котельной 1-ой очереди (инв.№ 100004). Шкаф вытяжной ЛК-1200 ШВП.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560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560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конденсатных баков котельной 1-ой очереди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11410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2974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8436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деаэратора сетевого контура ДА-200 котельной 1-ой очереди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8396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8396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деаэратора котлового контура ДА-100 котельной 1-ой очереди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8396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8396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склада топлива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фильтров ХВО котлового контура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8430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981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3995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оборудования скалада реагентов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15"/>
        </w:trPr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89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2. Котельная № 2 (ШПЗ)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642975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4881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9910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32883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39012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110947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89204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114115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191787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50236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283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 котельная №2. Техническое перевооружение котельного агрегата КЕ 10-14С станционный №1 (ШПЗ) с приобретением и монтажом вспомогательного оборудования и шита </w:t>
            </w:r>
            <w:r>
              <w:rPr>
                <w:color w:val="auto"/>
                <w:sz w:val="22"/>
                <w:szCs w:val="22"/>
              </w:rPr>
              <w:t xml:space="preserve">управления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47002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3350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14906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28746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9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КИПиА. Создание щитов управления котлов паровых КЕ-10 14С станционный №2, ДКВр-20/13 станционный №3, станционный №4, станционный №5 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31255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31255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группы сетевых подогревателей. Замена подогревателей сетевой воды ПСВ 200-7-15 станционный № 7, ПСВ-90-7-15 станционный №9.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11509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3742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7767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золоуловителей МП-3100 к/а КЕ 10/14  станционный №2.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вспомогательного оборудования котельных агрегатов ДКВр 20/13 станционный № 3, 4, 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14100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охладителей выпара ОВА 16 (станционный №1, станционный № 2)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аспирационной установки топливоподачи станционный № 3 тракта углеподачи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2700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2700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тракта углеподачи (ограждающих конструктивных элементов и дренажной системы)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705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оборудования химводоподготовки. Замена фильтров ФИПа станционный №1, станционный №2, станционный №3, станционный №4.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11163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11163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15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питательных насосов котельной № 2. Замена питательных насосов (ЦНСг 60/231 станционный №1 - 1 шт., ЦНСГ-105-196 - 2 шт.) на современные энергоэффективные аналоги с применением ЧРП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резервуара металлического (стального бака-аккумулятора 2000м3 ст.№1)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44913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2735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42178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5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</w:t>
            </w:r>
            <w:r>
              <w:rPr>
                <w:color w:val="auto"/>
                <w:sz w:val="22"/>
                <w:szCs w:val="22"/>
              </w:rPr>
              <w:t xml:space="preserve">ция кровли котельной №2 ОП «ТТС» АО «Байкалэнерго» (котельная с четырьмя двухэтажными и тремя одноэтажными пристроями, с пристроем золоудаления и здания углеподачи, инв. № 91, расположенная по адресу: Иркутская обл., г. Тайшет, ул. Гагарина, 114»)»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5763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4881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системы пожаротушения галереи тракта углеподачи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Модерниазция здания котельной с устройством блочного санитарно-бытового помещения.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 "Котельная № 2" III класса опасности рег. № А67-01914-0014. Модернизация трубопровода пара от к/а №1, 2 (инв. №240/1) и трубопровода пара от к/а №3, 4, 5 (инв. №232/1) котельной №2 (ШПЗ). Устройство редукционной установки.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26549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19613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системы очистки сточных вод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112493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10266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12227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емкостей подпиточных горизонтальных ст.№ 1, ст.№ 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11717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8436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здания котельной и тракта топливоподачи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 котельная №2. Техническое перевооружение котельного агрегата ДКВр-20-13 станционный № 3 (ШПЗ) с приобретением и монтажом вспомогательного оборудования и шита </w:t>
            </w:r>
            <w:r>
              <w:rPr>
                <w:color w:val="auto"/>
                <w:sz w:val="22"/>
                <w:szCs w:val="22"/>
              </w:rPr>
              <w:t xml:space="preserve">управления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105248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4435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39708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61106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 котельная №2. Техническое перевооружение котельного агрегата ДКВр-20-13 станционный № 4 (ШПЗ) с приобретением и монтажом вспомогательного оборудования и шита управления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105248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4435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39708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61106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45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2.21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Реконструкция и модернизация электрооборудования котельной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50847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7475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25788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17584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2.21.1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и модернизация электрооборудования котельной № 2 (ШПЗ) . Модернизация сооружения - воздушной линии электроснабжения котельной котельной № 2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1579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2157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2.21.2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и модернизация электрооборудования котельной № 2 (ШПЗ). Модернизация ячеек КСО-298 (9 штук) и КСО-272 (2 ячейки).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16960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1532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15428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2.21.3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и модернизация электрооборудования котельной № 2 (ШПЗ). Модернизация трансформаторных подстанций ТП-1 и ТП-2.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26854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2249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24605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2.21.4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и модернизация электрооборудования котельной № 2 (ШПЗ). Модернизация распределительного устройства РУ 0,4 кВ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15"/>
        </w:trPr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89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3. Котельная № 3 (Мелькомбинат)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99674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2402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3643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476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18356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22383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32914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15500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Дооборудование котельной №3 автоматическими системами, обеспечивающими пожарную безопасность в соответствии с действующими нормами и </w:t>
            </w:r>
            <w:r>
              <w:rPr>
                <w:color w:val="auto"/>
                <w:sz w:val="22"/>
                <w:szCs w:val="22"/>
              </w:rPr>
              <w:t xml:space="preserve">правилами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системы очистки сточных вод котельной № 3 ОП "ТТС"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44398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1484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18914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«Техническое перевооружение ОПО котельная №3 «Мелькомбинат». Модернизация главного паропровода от котлоагрегатов (от теплообменников). Устройство редукционной установки. (инвентарный № 40118/1)»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5037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918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3643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подпиточной емкости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7897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емкости сырой воды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5841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насосного оборудования (питательные, сетевые насосы)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фильтров ХВО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вспомогательного оборудования котельных агрегатов ДКВр 6,5/13 станционный № 1, № 2.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15"/>
        </w:trPr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89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4. Котельная № 4 (Экспедиции № 5)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18058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447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2608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2191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6030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1381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насосного оборудования сетевой группы котельной № 4 (замена физически изношенных и морально устаревших насосных агрегатов Д250/50)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821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1381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котельной №4 (Экспедиция №5). Приобретение и монтаж котельного агрегата КВМ-1,25 взамен отработавшего нормативный срок КВМ-1,25. (инвентарный №10028Т)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1805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1805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"Модернизация газоходов котельной №4. Устройство газоочистного оборудования." (с ПИР) (инв. №б/н)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1651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803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емкости сырой воды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5588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1370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4218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вспомогательного оборудования котельных агрегатов станционный № 1, № 2.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2"/>
        </w:trPr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89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5. Котельная № 5 (Совхоз)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41114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1443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38290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1381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основного и вспомогательного оборудования котельной № 5. Приобретение и монтаж автоматической угольной блочно-модульной котельной.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30043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30043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сетевых насосов. Замена физически изношенных насосов сетевых КМ-100-65-200 - станционный №1, станционный № 2 котельной № 5 на современные аналоги с частотно-регулируемым приводом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4014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821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1381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котельной №5. Приобретение и монтаж котельного агрегата  взамен отработавшего нормативный срок КВм-1,25 (со вспомогательным оборудованием)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5030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5030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газоходов котельной №5. Устройство газоочистного оборудования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622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1404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48"/>
        </w:trPr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89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6. Прочие мероприятия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4588516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6453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13444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36031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176330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333970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4022289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Площадка размещения золошлаковых отходов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50000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и монтаж блочно-модульного санитарно-бытового помещения для участка тепловых сетей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спецтехники с целью обеспечения надежности теплоснабжения Бульдозер SHANTUI SD-16 (или аналог)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13444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13444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спецтехники с целью обеспечения надежности теплоснабжения. Приобретение машины Камаз для транспортирования ЗШО до площадки </w:t>
            </w:r>
            <w:r>
              <w:rPr>
                <w:color w:val="auto"/>
                <w:sz w:val="22"/>
                <w:szCs w:val="22"/>
              </w:rPr>
              <w:t xml:space="preserve">временного накопления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6453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6453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283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спецтехники с целью обеспечения надежности теплоснабжения. Приобретение кран-манипуляторной установки на базе КАМАЗ (или аналог)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16031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16030,8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спецтехники с целью обеспечения надежности теплоснабжения Фронтальный погрузчик XCMG LW300FN (или аналог)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6697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6697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спецтехники с целью обеспечения надежности теплоснабжения Самосвал (или аналог)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13970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13970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6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«Блочно-модульная котельная на твердом топливе, теплопроизводительностью 12 Гкал/ч до 20 Гкал/ч в село Старый Акульшет Тайшетского </w:t>
            </w:r>
            <w:r>
              <w:rPr>
                <w:color w:val="auto"/>
                <w:sz w:val="22"/>
                <w:szCs w:val="22"/>
              </w:rPr>
              <w:t xml:space="preserve">района» новое строительство с целью обеспечения резервного теплоснабжения микрорайона Центральный город Тайшет, а также обеспечение технической возможности технологического присоединения вновь строящихся объектов к тепловым сетям ОП «ТТС» АО «Байкалэнерго»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499633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49633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котельной мощностью 56 Гкал/ч взамен отработавшей нормативный срок котельной № 2 (ШПЗ)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2051704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1921704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блока водогрейных котлов мощностью 50 Гкал/ч с целью обеспечения с целью обеспечения перспективных нагрузок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1925585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1795585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 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Всего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6288999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13617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35551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88423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82295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245867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462875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586137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4582080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192153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</w:tbl>
    <w:p>
      <w:pPr>
        <w:jc w:val="center"/>
        <w:tabs>
          <w:tab w:val="left" w:pos="709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p>
      <w:pPr>
        <w:jc w:val="right"/>
        <w:tabs>
          <w:tab w:val="left" w:pos="709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EastAsia"/>
          <w:color w:val="auto"/>
          <w:highlight w:val="none"/>
        </w:rPr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p>
      <w:pPr>
        <w:jc w:val="right"/>
        <w:tabs>
          <w:tab w:val="left" w:pos="709" w:leader="none"/>
          <w:tab w:val="right" w:pos="9923" w:leader="dot"/>
        </w:tabs>
        <w:rPr>
          <w:rFonts w:eastAsiaTheme="minorEastAsia"/>
          <w:color w:val="auto"/>
          <w:highlight w:val="none"/>
        </w:rPr>
      </w:pPr>
      <w:r>
        <w:rPr>
          <w:rFonts w:eastAsiaTheme="minorEastAsia"/>
          <w:color w:val="auto"/>
          <w:highlight w:val="none"/>
        </w:rPr>
      </w:r>
      <w:r>
        <w:rPr>
          <w:rFonts w:eastAsiaTheme="minorEastAsia"/>
          <w:color w:val="auto"/>
          <w:highlight w:val="none"/>
        </w:rPr>
      </w:r>
      <w:r>
        <w:rPr>
          <w:rFonts w:eastAsiaTheme="minorEastAsia"/>
          <w:color w:val="auto"/>
          <w:highlight w:val="none"/>
        </w:rPr>
      </w:r>
    </w:p>
    <w:p>
      <w:pPr>
        <w:jc w:val="right"/>
        <w:tabs>
          <w:tab w:val="left" w:pos="709" w:leader="none"/>
          <w:tab w:val="right" w:pos="9923" w:leader="dot"/>
        </w:tabs>
        <w:rPr>
          <w:rFonts w:eastAsiaTheme="minorEastAsia"/>
          <w:color w:val="auto"/>
          <w:highlight w:val="none"/>
        </w:rPr>
      </w:pPr>
      <w:r>
        <w:rPr>
          <w:rFonts w:eastAsiaTheme="minorEastAsia"/>
          <w:color w:val="auto"/>
        </w:rPr>
        <w:t xml:space="preserve">Таблица 52</w:t>
      </w:r>
      <w:r>
        <w:rPr>
          <w:rFonts w:eastAsiaTheme="minorEastAsia"/>
          <w:color w:val="auto"/>
          <w:highlight w:val="none"/>
        </w:rPr>
      </w:r>
      <w:r>
        <w:rPr>
          <w:rFonts w:eastAsiaTheme="minorEastAsia"/>
          <w:color w:val="auto"/>
          <w:highlight w:val="none"/>
        </w:rPr>
      </w:r>
    </w:p>
    <w:p>
      <w:pPr>
        <w:jc w:val="center"/>
        <w:tabs>
          <w:tab w:val="left" w:pos="709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EastAsia"/>
          <w:color w:val="auto"/>
        </w:rPr>
        <w:t xml:space="preserve">Величина планируемых инвестиций в реконструкцию, модернизацию тепловых сетей Тайшетского городского поселения </w:t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tbl>
      <w:tblPr>
        <w:tblW w:w="15761" w:type="dxa"/>
        <w:tblInd w:w="113" w:type="dxa"/>
        <w:tblLook w:val="04A0" w:firstRow="1" w:lastRow="0" w:firstColumn="1" w:lastColumn="0" w:noHBand="0" w:noVBand="1"/>
      </w:tblPr>
      <w:tblGrid>
        <w:gridCol w:w="704"/>
        <w:gridCol w:w="4241"/>
        <w:gridCol w:w="1195"/>
        <w:gridCol w:w="1088"/>
        <w:gridCol w:w="1462"/>
        <w:gridCol w:w="812"/>
        <w:gridCol w:w="766"/>
        <w:gridCol w:w="996"/>
        <w:gridCol w:w="876"/>
        <w:gridCol w:w="876"/>
        <w:gridCol w:w="993"/>
        <w:gridCol w:w="876"/>
        <w:gridCol w:w="870"/>
        <w:gridCol w:w="6"/>
      </w:tblGrid>
      <w:tr>
        <w:tblPrEx/>
        <w:trPr>
          <w:gridAfter w:val="1"/>
          <w:trHeight w:val="57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№ п/п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Наименование мероприятия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1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Планируемая потребность в финансовых средствах, тыс.рублей без учета НДС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57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Итого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Базовый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none" w:color="000000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Переходный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5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2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Первый 5-летний период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73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Последующие 5-летние периоды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57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2030-2034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2035-2039 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2040-2041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4885" w:type="dxa"/>
            <w:vAlign w:val="center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 Строительство тепловых сетей для обеспечения перспективных приростов тепловой нагрузки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от ТК -12 ТС-7 (инв. № Ю01132096) котельной № 1 до ТК12-2, от ТК-12-2 до границы земельного участка 38:29:011003:29 (микрорайон Центральный).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37189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37189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от ТК-12-2 (проект.) до границы земельного участка 38:29:011003:180 (общеобразовательная школа на 1275 мест). Характеристики уточняются проектом.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20503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19009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1394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котельной № 1 от ТК-9-7 до границы земельного участка 38:29:011001:85 (ОВД) диаметром 133 мм, ориентировочной протяженностью 22 метра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 до границы земельного участка 38:29:000000:46 (Детский сад РУСАЛ))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16468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1468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до границы земельного участка жилого микрорайона «РУСАЛквартАЛ» ООО «РУСАЛ Тайшетский алюминиевый завод» в селе Старый –Акульшет.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136325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5256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131069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 до границы земельного участка 38:29:011001:2076 (Каток РУСАЛ))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12389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2389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45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4885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 Строительство тепловых сетей, обеспечивающих условия,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8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Участок тепловой сети от ТК-9 до ТК-9-7, организация перемычки от ТК-9-7 до ТС-12 (инвентарный № Ю0</w:t>
            </w:r>
            <w:r>
              <w:rPr>
                <w:color w:val="auto"/>
                <w:sz w:val="22"/>
                <w:szCs w:val="22"/>
              </w:rPr>
              <w:t xml:space="preserve">1132096). Реконструкция: Строительство тепловой сети диаметром 300мм протяженностью 327 метров от ТК-9-7 ТС-7 котельной № 1 (инвентарный № Ю01132096) до тепловой сети ТС-12 котельной № 2 (инвентарный № Ю01132096) диаметром 300 мм протяженностью 327 метров.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206213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196725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4885" w:type="dxa"/>
            <w:vAlign w:val="center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 Реконструкция тепловых сетей, подлежащих замене в связи с исчерпанием эксплуатационного ресурса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ТС-27 электрокотельной ДТВ ОАО «РЖД» от ТК-40  до жилого дом по улице Осипенко, 2  (инвентарный № Ю01132126) протяженностью 460 метров  с изменением диаметра согласно проектной документации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37747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5297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32450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ТС-6 котельной № 1 от вертикального компенсатора К-7 до К-10 по улице Индустриальной (инвентарный № Ю01132095) диаметром 700 мм протяженностью 291 метр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29557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16413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12082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ТС-6 котельной №1 от вертикального компенсатора К-12 до ТК-3 по улице Индустриальной (инвентарный № Ю01132095) диаметром 700 мм протяженностью 277 метров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24882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13152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10426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59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от ТК-5-15 до ТК-5-24 по ул. Зои Космодемьянской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41988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13854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26892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ТС-20 котельной № 2 от ТК-11-3 до жилого дома по улице Крупской, 92  (инвентарный № Ю01132119) диаметром 150 мм протяженностью 215 метров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23227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23227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тепловой сети по улице Транспортной от ТК-2 до ТК-3 от котельной №2 (инвентарный № Ю01132108) протяженностью 214 метров, с изменением диаметра с 400 мм до 500 мм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19356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19356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тепловой сети котельной № 2 от ТК3-4 до ТК3-12 по улице Терешковой (ТС-11, инвентарный № Ю01132111)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81272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4556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572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766" w:type="dxa"/>
            <w:vAlign w:val="bottom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36144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ТС-12 от ТК-3-12 до ТК3-18 (инвентарный № Ю01132112) с увеличением диаметра.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46540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6540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тепловой сети котельной № 1 по улице Полевой (частный сектор) диаметром 150 мм протяженностью 159 метров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25787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5787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от котельной № 4 до ТК-3 по улице Новой (инвентарный № Ю01132103) протяженностью 195 метров  с изменением диаметра согласно проектной документации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38140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4140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участков тепловой сети ТС-22 котельной № 2  от ТК-30 до ТК-34 (инвентарный № Ю01132121) диаметром 300 мм протяженностью 175 метров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61795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5795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56000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83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и техническое перевооружение ветхих тепловых сетей в </w:t>
            </w:r>
            <w:r>
              <w:rPr>
                <w:color w:val="auto"/>
                <w:sz w:val="22"/>
                <w:szCs w:val="22"/>
              </w:rPr>
              <w:t xml:space="preserve">объеме 5 %.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2549233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218742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299241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175984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927633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927633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от ТК-6 до ТК-9 котельной № 5 (Совхоз)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30284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bottom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bottom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3028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17256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gridSpan w:val="1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4885" w:type="dxa"/>
            <w:vAlign w:val="center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 Реконструкция тепловых сетей с увеличением диаметра трубопроводов для обеспечения перспективных приростов тепловой нагрузки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14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4.1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Реконструкция участка тепловой сети ТС-7 котельной № 1  (инв. № Ю01132096) от района П-образного компенсатора К-24 + 54,50 м (секционирующий узел УТ1) до ТК-12 (характеристики уточняются проектом), в т.ч: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281078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67966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72986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25788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20000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85247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4.1.1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ТС-7 от УТ1 до ТК5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105247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85247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4.1.2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ТС-7  от ТК5 до ТК9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105331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6557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72986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25788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4.1.3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ТС-7 от ТК9 до ТК12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70500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61409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ТС-7 от угла поворота сети УП15+5м до района П-образного компенсатора К-24 + 54,50 м (секционирующий узел УТ1)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101069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2706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53551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Установка регулирующих балансировочных клапанов на ответвлениях от магистральных и внутриквартальных трубопроводов.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ТС-6 котельной № 1 от компенсатора К-1 до К-3 (инвентарный № Ю01132095) протяженность и диаметр уточняются проектом.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112594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5848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1646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29830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33056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42214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Установка повышающей насосной станции  в районе тепловой камеры ТК-5 тепловой сети ТС-7 (инвентарный № </w:t>
            </w:r>
            <w:r>
              <w:rPr>
                <w:color w:val="auto"/>
                <w:sz w:val="22"/>
                <w:szCs w:val="22"/>
              </w:rPr>
              <w:t xml:space="preserve">Ю01132096) (при обосновании)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78000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241" w:type="dxa"/>
            <w:vAlign w:val="bottom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Итого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5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4018451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088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124194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6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114952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1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78427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6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52797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330273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589559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355432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3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505936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927633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927633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</w:tbl>
    <w:p>
      <w:pPr>
        <w:jc w:val="center"/>
        <w:tabs>
          <w:tab w:val="left" w:pos="709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p>
      <w:pPr>
        <w:jc w:val="center"/>
        <w:tabs>
          <w:tab w:val="left" w:pos="709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p>
      <w:pPr>
        <w:jc w:val="right"/>
        <w:rPr>
          <w:color w:val="auto"/>
        </w:rPr>
      </w:pPr>
      <w:r>
        <w:rPr>
          <w:color w:val="auto"/>
        </w:rPr>
        <w:t xml:space="preserve">.</w:t>
      </w:r>
      <w:r>
        <w:rPr>
          <w:color w:val="auto"/>
        </w:rPr>
        <w:t xml:space="preserve">Таблица 53</w:t>
      </w:r>
      <w:r>
        <w:rPr>
          <w:color w:val="auto"/>
        </w:rPr>
      </w:r>
      <w:r>
        <w:rPr>
          <w:color w:val="auto"/>
        </w:rPr>
      </w:r>
    </w:p>
    <w:p>
      <w:pPr>
        <w:jc w:val="center"/>
        <w:rPr>
          <w:color w:val="auto"/>
        </w:rPr>
      </w:pPr>
      <w:r>
        <w:rPr>
          <w:color w:val="auto"/>
        </w:rPr>
        <w:t xml:space="preserve">Сводная стоимость инвестиций в строительство, реконструкцию и техническое перевооружение источников тепловой энергии, тепловых сетей,</w:t>
      </w:r>
      <w:r>
        <w:rPr>
          <w:bCs/>
          <w:color w:val="auto"/>
          <w:shd w:val="clear" w:color="auto" w:fill="ffffff"/>
        </w:rPr>
        <w:t xml:space="preserve"> насосных станций и тепловых пунктов</w:t>
      </w:r>
      <w:r>
        <w:rPr>
          <w:color w:val="auto"/>
        </w:rPr>
        <w:t xml:space="preserve"> Тайшетского городского поселения</w:t>
      </w:r>
      <w:r>
        <w:rPr>
          <w:color w:val="auto"/>
        </w:rPr>
      </w:r>
      <w:r>
        <w:rPr>
          <w:color w:val="auto"/>
        </w:rPr>
      </w:r>
    </w:p>
    <w:tbl>
      <w:tblPr>
        <w:tblW w:w="15409" w:type="dxa"/>
        <w:tblInd w:w="118" w:type="dxa"/>
        <w:tblLook w:val="04A0" w:firstRow="1" w:lastRow="0" w:firstColumn="1" w:lastColumn="0" w:noHBand="0" w:noVBand="1"/>
      </w:tblPr>
      <w:tblGrid>
        <w:gridCol w:w="3959"/>
        <w:gridCol w:w="1176"/>
        <w:gridCol w:w="992"/>
        <w:gridCol w:w="992"/>
        <w:gridCol w:w="992"/>
        <w:gridCol w:w="993"/>
        <w:gridCol w:w="992"/>
        <w:gridCol w:w="992"/>
        <w:gridCol w:w="1134"/>
        <w:gridCol w:w="1134"/>
        <w:gridCol w:w="1056"/>
        <w:gridCol w:w="997"/>
      </w:tblGrid>
      <w:tr>
        <w:tblPrEx/>
        <w:trPr>
          <w:trHeight w:val="330"/>
        </w:trPr>
        <w:tc>
          <w:tcPr>
            <w:shd w:val="clear" w:color="auto" w:fill="auto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395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Наименование показателя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gridSpan w:val="11"/>
            <w:shd w:val="clear" w:color="auto" w:fill="auto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000000" w:sz="8" w:space="0"/>
            </w:tcBorders>
            <w:tcW w:w="1145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Планируемая потребность в финансовых средствах, тыс.руб.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</w:tr>
      <w:tr>
        <w:tblPrEx/>
        <w:trPr>
          <w:trHeight w:val="330"/>
        </w:trPr>
        <w:tc>
          <w:tcPr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tcW w:w="3959" w:type="dxa"/>
            <w:vAlign w:val="center"/>
            <w:vMerge w:val="continue"/>
            <w:textDirection w:val="lrTb"/>
            <w:noWrap w:val="false"/>
          </w:tcPr>
          <w:p>
            <w:pPr>
              <w:rPr>
                <w:bCs/>
                <w:color w:val="ff0000"/>
              </w:rPr>
            </w:pPr>
            <w:r>
              <w:rPr>
                <w:bCs/>
                <w:color w:val="ff0000"/>
              </w:rPr>
            </w:r>
            <w:r>
              <w:rPr>
                <w:bCs/>
                <w:color w:val="ff0000"/>
              </w:rPr>
            </w:r>
            <w:r>
              <w:rPr>
                <w:bCs/>
                <w:color w:val="ff0000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76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Всего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2023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2024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2025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3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2026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2027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2028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2029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2030-2034 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056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2035-2039 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7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2040-2041 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</w:tr>
      <w:tr>
        <w:tblPrEx/>
        <w:trPr>
          <w:trHeight w:val="645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395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 xml:space="preserve">Всего по источникам тепловой энергии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76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6288999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13617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35551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88423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3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82295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245867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462875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34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586137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34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4582080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056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192153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7" w:type="dxa"/>
            <w:vAlign w:val="center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30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395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 xml:space="preserve">Всего по тепловым сетям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7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4018451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124194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114952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78427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3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52797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330273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589559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34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355432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34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505936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05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927633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7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927633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45"/>
        </w:trPr>
        <w:tc>
          <w:tcPr>
            <w:shd w:val="clear" w:color="auto" w:fill="auto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W w:w="395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Итого стоимость мероприятий</w:t>
            </w:r>
            <w:r>
              <w:rPr>
                <w:bCs/>
                <w:color w:val="auto"/>
              </w:rPr>
            </w:r>
            <w:r>
              <w:rPr>
                <w:bCs/>
                <w:color w:val="auto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7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10307450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137811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150503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166850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3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135092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576140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1052434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34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941569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134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5088016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1056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1119786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tcW w:w="997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927633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</w:tbl>
    <w:p>
      <w:pPr>
        <w:jc w:val="center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p>
      <w:pPr>
        <w:jc w:val="right"/>
        <w:tabs>
          <w:tab w:val="left" w:pos="0" w:leader="none"/>
          <w:tab w:val="left" w:pos="567" w:leader="none"/>
          <w:tab w:val="right" w:pos="9923" w:leader="dot"/>
        </w:tabs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  <w:t xml:space="preserve">Таблица 53.1</w:t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color w:val="auto"/>
        </w:rPr>
      </w:pPr>
      <w:r>
        <w:rPr>
          <w:color w:val="auto"/>
          <w:shd w:val="clear" w:color="auto" w:fill="ffffff"/>
        </w:rPr>
        <w:t xml:space="preserve">Сводная стоимость инвестиций технического перевооружения источников тепловой энергии</w:t>
      </w:r>
      <w:r>
        <w:rPr>
          <w:color w:val="auto"/>
        </w:rPr>
        <w:t xml:space="preserve"> муниципального образования «Тайшетский район», расположенных на территории Тайшетского городского поселения</w:t>
      </w:r>
      <w:r>
        <w:rPr>
          <w:color w:val="auto"/>
        </w:rPr>
      </w:r>
      <w:r>
        <w:rPr>
          <w:color w:val="auto"/>
        </w:rPr>
      </w: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A0" w:firstRow="1" w:lastRow="0" w:firstColumn="1" w:lastColumn="0" w:noHBand="0" w:noVBand="0"/>
      </w:tblPr>
      <w:tblGrid>
        <w:gridCol w:w="4266"/>
        <w:gridCol w:w="1146"/>
        <w:gridCol w:w="893"/>
        <w:gridCol w:w="893"/>
        <w:gridCol w:w="936"/>
        <w:gridCol w:w="936"/>
        <w:gridCol w:w="1050"/>
        <w:gridCol w:w="1050"/>
        <w:gridCol w:w="1053"/>
        <w:gridCol w:w="1053"/>
        <w:gridCol w:w="1050"/>
        <w:gridCol w:w="1026"/>
      </w:tblGrid>
      <w:tr>
        <w:tblPrEx/>
        <w:trPr>
          <w:trHeight w:val="600"/>
        </w:trPr>
        <w:tc>
          <w:tcPr>
            <w:shd w:val="clear" w:color="auto" w:fill="auto"/>
            <w:tcW w:w="1389" w:type="pct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Наименование показателя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11"/>
            <w:tcW w:w="3611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Планируемая потребность в финансовых средствах, тысяч рублей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65"/>
        </w:trPr>
        <w:tc>
          <w:tcPr>
            <w:tcW w:w="1389" w:type="pct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373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Всего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91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Факт 2021 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tcW w:w="291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Факт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2022 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05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2023 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05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2024 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4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2025 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tcW w:w="34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2026 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tcW w:w="34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2027 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tcW w:w="343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2028-2033 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tcW w:w="342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2034-2038 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tcW w:w="334" w:type="pct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2039-2041 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2"/>
        </w:trPr>
        <w:tc>
          <w:tcPr>
            <w:shd w:val="clear" w:color="auto" w:fill="auto"/>
            <w:tcW w:w="1389" w:type="pct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Всего по источникам тепловой энергии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73" w:type="pct"/>
            <w:textDirection w:val="lrTb"/>
            <w:noWrap/>
          </w:tcPr>
          <w:p>
            <w:pPr>
              <w:jc w:val="center"/>
              <w:spacing w:line="276" w:lineRule="auto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3617,4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91" w:type="pct"/>
            <w:textDirection w:val="lrTb"/>
            <w:noWrap/>
          </w:tcPr>
          <w:p>
            <w:pPr>
              <w:jc w:val="center"/>
              <w:spacing w:line="276" w:lineRule="auto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tcW w:w="291" w:type="pct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05" w:type="pct"/>
            <w:textDirection w:val="lrTb"/>
            <w:noWrap/>
          </w:tcPr>
          <w:p>
            <w:pPr>
              <w:jc w:val="center"/>
              <w:spacing w:line="276" w:lineRule="auto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574,2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05" w:type="pct"/>
            <w:textDirection w:val="lrTb"/>
            <w:noWrap/>
          </w:tcPr>
          <w:p>
            <w:pPr>
              <w:jc w:val="center"/>
              <w:spacing w:line="276" w:lineRule="auto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960,1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42" w:type="pct"/>
            <w:textDirection w:val="lrTb"/>
            <w:noWrap/>
          </w:tcPr>
          <w:p>
            <w:pPr>
              <w:jc w:val="center"/>
              <w:spacing w:line="276" w:lineRule="auto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tcW w:w="342" w:type="pct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424,5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tcW w:w="343" w:type="pct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tcW w:w="343" w:type="pct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1658,6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tcW w:w="342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334" w:type="pct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68"/>
        </w:trPr>
        <w:tc>
          <w:tcPr>
            <w:shd w:val="clear" w:color="auto" w:fill="auto"/>
            <w:tcW w:w="1389" w:type="pct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Итого инвестиций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73" w:type="pct"/>
            <w:textDirection w:val="lrTb"/>
            <w:noWrap/>
          </w:tcPr>
          <w:p>
            <w:pPr>
              <w:jc w:val="center"/>
              <w:spacing w:line="276" w:lineRule="auto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3617,4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291" w:type="pct"/>
            <w:textDirection w:val="lrTb"/>
            <w:noWrap/>
          </w:tcPr>
          <w:p>
            <w:pPr>
              <w:jc w:val="center"/>
              <w:spacing w:line="276" w:lineRule="auto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tcW w:w="291" w:type="pct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05" w:type="pct"/>
            <w:textDirection w:val="lrTb"/>
            <w:noWrap/>
          </w:tcPr>
          <w:p>
            <w:pPr>
              <w:jc w:val="center"/>
              <w:spacing w:line="276" w:lineRule="auto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574,2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05" w:type="pct"/>
            <w:textDirection w:val="lrTb"/>
            <w:noWrap/>
          </w:tcPr>
          <w:p>
            <w:pPr>
              <w:jc w:val="center"/>
              <w:spacing w:line="276" w:lineRule="auto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960,1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W w:w="342" w:type="pct"/>
            <w:textDirection w:val="lrTb"/>
            <w:noWrap/>
          </w:tcPr>
          <w:p>
            <w:pPr>
              <w:jc w:val="center"/>
              <w:spacing w:line="276" w:lineRule="auto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tcW w:w="342" w:type="pct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424,5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tcW w:w="343" w:type="pct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tcW w:w="343" w:type="pct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1658,6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tcW w:w="342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tcW w:w="334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</w:tr>
    </w:tbl>
    <w:p>
      <w:pPr>
        <w:jc w:val="center"/>
        <w:keepLines/>
        <w:keepNext/>
        <w:spacing w:before="120" w:after="120"/>
        <w:widowControl w:val="off"/>
        <w:rPr>
          <w:rFonts w:eastAsiaTheme="majorEastAsia"/>
          <w:bCs/>
        </w:rPr>
        <w:sectPr>
          <w:footnotePr/>
          <w:endnotePr/>
          <w:type w:val="nextPage"/>
          <w:pgSz w:w="16838" w:h="11906" w:orient="landscape"/>
          <w:pgMar w:top="709" w:right="851" w:bottom="851" w:left="851" w:header="340" w:footer="0" w:gutter="0"/>
          <w:cols w:num="1" w:sep="0" w:space="708" w:equalWidth="1"/>
          <w:docGrid w:linePitch="360"/>
          <w:titlePg/>
        </w:sectPr>
        <w:outlineLvl w:val="2"/>
      </w:pPr>
      <w:r>
        <w:rPr>
          <w:rFonts w:eastAsiaTheme="majorEastAsia"/>
          <w:bCs/>
        </w:rPr>
      </w:r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33" w:name="_Toc149055663"/>
      <w:r>
        <w:rPr>
          <w:rFonts w:eastAsiaTheme="majorEastAsia"/>
          <w:bCs/>
        </w:rPr>
        <w:t xml:space="preserve">12.2. Обоснованные предложения по источникам инвестиций, обеспечивающих финансовые потребности для осуществления строительства, реконструкции, технического перевооружения и модернизации источников тепловой энергии и тепловых сетей</w:t>
      </w:r>
      <w:bookmarkEnd w:id="133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Источниками планируемых инвестиций, обеспечивающих финансовые по</w:t>
      </w:r>
      <w:r>
        <w:rPr>
          <w:rFonts w:eastAsiaTheme="minorEastAsia"/>
        </w:rPr>
        <w:t xml:space="preserve">требности для осуществления реконструкции, модернизации муниципальных котельных Тайшетского городского поселения и реконструкции тепловых сетей являются финансовые средства ресурсоснабжающей организации в рамках инвестиционной программы при заключении конц</w:t>
      </w:r>
      <w:r>
        <w:rPr>
          <w:rFonts w:eastAsiaTheme="minorEastAsia"/>
        </w:rPr>
        <w:t xml:space="preserve">ессионного соглашения, платы за подключение, а так же средства, привлеченные из бюджетов различных уровней посредством участия Тайшетского муниципального образования в региональных и федеральных программах развития инфраструктуры муниципальных образований.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34" w:name="_Toc149055664"/>
      <w:r>
        <w:rPr>
          <w:rFonts w:eastAsiaTheme="majorEastAsia"/>
          <w:bCs/>
        </w:rPr>
        <w:t xml:space="preserve">12.3. Расчеты экономической эффективности инвестиций</w:t>
      </w:r>
      <w:bookmarkEnd w:id="134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rPr>
          <w:rFonts w:eastAsiaTheme="minorEastAsia"/>
          <w:bCs/>
        </w:rPr>
      </w:pPr>
      <w:r>
        <w:rPr>
          <w:rFonts w:eastAsiaTheme="minorEastAsia"/>
        </w:rPr>
        <w:t xml:space="preserve">В целом при реализации всех предложенных мероприятий пок</w:t>
      </w:r>
      <w:r>
        <w:rPr>
          <w:rFonts w:eastAsiaTheme="minorEastAsia"/>
        </w:rPr>
        <w:t xml:space="preserve">азатели эффективности инвестиционного проекта будут иметь отрицательные значения, то есть не будут иметь обоснования с точки зрения финансов, но иметь обоснование с точки зрения необходимости их осуществления для теплоснабжения объектов перспективного стро</w:t>
      </w:r>
      <w:r>
        <w:rPr>
          <w:rFonts w:eastAsiaTheme="minorEastAsia"/>
        </w:rPr>
        <w:t xml:space="preserve">ительства. Связано это с большой долей финансовых потребностей на мероприятия, необходимые к осуществлению с учетом планируемых перспективных нагрузок. Окупаемость данных мероприятий выйдет за рамки периода, на который разрабатывается схема теплоснабжения.</w:t>
      </w:r>
      <w:r>
        <w:rPr>
          <w:rFonts w:eastAsiaTheme="minorEastAsia"/>
          <w:bCs/>
        </w:rPr>
      </w:r>
      <w:r>
        <w:rPr>
          <w:rFonts w:eastAsiaTheme="minorEastAsia"/>
          <w:bCs/>
        </w:rPr>
      </w:r>
    </w:p>
    <w:p>
      <w:pPr>
        <w:ind w:firstLine="709"/>
        <w:jc w:val="both"/>
        <w:widowControl w:val="off"/>
        <w:rPr>
          <w:rFonts w:eastAsiaTheme="minorEastAsia"/>
          <w:bCs/>
        </w:rPr>
      </w:pPr>
      <w:r>
        <w:rPr>
          <w:rFonts w:eastAsiaTheme="minorEastAsia"/>
        </w:rPr>
        <w:t xml:space="preserve">Эффективность инвестиций на разработанные мероприятия по строительству, реконструкции и технического пе</w:t>
      </w:r>
      <w:r>
        <w:rPr>
          <w:rFonts w:eastAsiaTheme="minorEastAsia"/>
        </w:rPr>
        <w:t xml:space="preserve">ревооружения зависят, в том числе, и от выбранного источника финансирования данных мероприятий. Источники финансирования предложены из расчета отсутствия негативных ценовых последствий для потребителей. Реализация предложенных мероприятий возможна за счет:</w:t>
      </w:r>
      <w:r>
        <w:rPr>
          <w:rFonts w:eastAsiaTheme="minorEastAsia"/>
          <w:bCs/>
        </w:rPr>
      </w:r>
      <w:r>
        <w:rPr>
          <w:rFonts w:eastAsiaTheme="minorEastAsia"/>
          <w:bCs/>
        </w:rPr>
      </w:r>
    </w:p>
    <w:p>
      <w:pPr>
        <w:ind w:firstLine="709"/>
        <w:jc w:val="both"/>
        <w:widowControl w:val="off"/>
        <w:rPr>
          <w:rFonts w:eastAsiaTheme="minorEastAsia"/>
          <w:bCs/>
        </w:rPr>
      </w:pPr>
      <w:r>
        <w:rPr>
          <w:rFonts w:eastAsiaTheme="minorEastAsia"/>
        </w:rPr>
        <w:t xml:space="preserve">надбавки к цене (тарифу) для потребителей товаров и услуг организаций коммунального комплекса;</w:t>
      </w:r>
      <w:r>
        <w:rPr>
          <w:rFonts w:eastAsiaTheme="minorEastAsia"/>
          <w:bCs/>
        </w:rPr>
      </w:r>
      <w:r>
        <w:rPr>
          <w:rFonts w:eastAsiaTheme="minorEastAsia"/>
          <w:bCs/>
        </w:rPr>
      </w:r>
    </w:p>
    <w:p>
      <w:pPr>
        <w:ind w:firstLine="709"/>
        <w:jc w:val="both"/>
        <w:widowControl w:val="off"/>
        <w:rPr>
          <w:rFonts w:eastAsiaTheme="minorEastAsia"/>
          <w:bCs/>
        </w:rPr>
      </w:pPr>
      <w:r>
        <w:rPr>
          <w:rFonts w:eastAsiaTheme="minorEastAsia"/>
        </w:rPr>
        <w:t xml:space="preserve">платы за подключение к сетям инженерно-технического обеспечения;</w:t>
      </w:r>
      <w:r>
        <w:rPr>
          <w:rFonts w:eastAsiaTheme="minorEastAsia"/>
          <w:bCs/>
        </w:rPr>
      </w:r>
      <w:r>
        <w:rPr>
          <w:rFonts w:eastAsiaTheme="minorEastAsia"/>
          <w:bCs/>
        </w:rPr>
      </w:r>
    </w:p>
    <w:p>
      <w:pPr>
        <w:ind w:firstLine="709"/>
        <w:jc w:val="both"/>
        <w:widowControl w:val="off"/>
        <w:rPr>
          <w:rFonts w:eastAsiaTheme="minorEastAsia"/>
          <w:bCs/>
        </w:rPr>
      </w:pPr>
      <w:r>
        <w:rPr>
          <w:rFonts w:eastAsiaTheme="minorEastAsia"/>
        </w:rPr>
        <w:t xml:space="preserve">средств организаций коммунального комплекса, застройщиков;</w:t>
      </w:r>
      <w:r>
        <w:rPr>
          <w:rFonts w:eastAsiaTheme="minorEastAsia"/>
          <w:bCs/>
        </w:rPr>
      </w:r>
      <w:r>
        <w:rPr>
          <w:rFonts w:eastAsiaTheme="minorEastAsia"/>
          <w:bCs/>
        </w:rPr>
      </w:r>
    </w:p>
    <w:p>
      <w:pPr>
        <w:ind w:firstLine="709"/>
        <w:jc w:val="both"/>
        <w:widowControl w:val="off"/>
        <w:rPr>
          <w:rFonts w:eastAsiaTheme="minorEastAsia"/>
          <w:bCs/>
        </w:rPr>
      </w:pPr>
      <w:r>
        <w:rPr>
          <w:rFonts w:eastAsiaTheme="minorEastAsia"/>
        </w:rPr>
        <w:t xml:space="preserve">федерального, областного, местного бюджетов в рамках адресных инвестиций и целевых программ;</w:t>
      </w:r>
      <w:r>
        <w:rPr>
          <w:rFonts w:eastAsiaTheme="minorEastAsia"/>
          <w:bCs/>
        </w:rPr>
      </w:r>
      <w:r>
        <w:rPr>
          <w:rFonts w:eastAsiaTheme="minorEastAsia"/>
          <w:bCs/>
        </w:rPr>
      </w:r>
    </w:p>
    <w:p>
      <w:pPr>
        <w:ind w:firstLine="709"/>
        <w:jc w:val="both"/>
        <w:widowControl w:val="off"/>
        <w:rPr>
          <w:rFonts w:eastAsiaTheme="minorEastAsia"/>
          <w:bCs/>
        </w:rPr>
      </w:pPr>
      <w:r>
        <w:rPr>
          <w:rFonts w:eastAsiaTheme="minorEastAsia"/>
        </w:rPr>
        <w:t xml:space="preserve">иных средств, предусмотренных законодательством.</w:t>
      </w:r>
      <w:r>
        <w:rPr>
          <w:rFonts w:eastAsiaTheme="minorEastAsia"/>
          <w:bCs/>
        </w:rPr>
      </w:r>
      <w:r>
        <w:rPr>
          <w:rFonts w:eastAsiaTheme="minorEastAsia"/>
          <w:bCs/>
        </w:rPr>
      </w:r>
    </w:p>
    <w:p>
      <w:pPr>
        <w:ind w:firstLine="709"/>
        <w:jc w:val="both"/>
        <w:widowControl w:val="off"/>
        <w:rPr>
          <w:rFonts w:eastAsiaTheme="minorEastAsia"/>
        </w:rPr>
      </w:pPr>
      <w:r>
        <w:rPr>
          <w:rFonts w:eastAsiaTheme="minorEastAsia"/>
        </w:rPr>
        <w:t xml:space="preserve">Объемы финансирования реализации мероприятий в части средств федерального, областного и местного бюджетов ежегодно уточняются, исходя из возможностей бюджетов на соответствующий финансовый год.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35" w:name="_Toc149055665"/>
      <w:r>
        <w:rPr>
          <w:rFonts w:eastAsiaTheme="majorEastAsia"/>
          <w:bCs/>
        </w:rPr>
        <w:t xml:space="preserve">12.4. Расчеты ценовых (тарифных) последствий для потребителей при реализации программ строительства, реконструкции, технического перевооружения и модернизации систем теплоснабжения</w:t>
      </w:r>
      <w:bookmarkEnd w:id="135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Реализацию мероприятий, предусмотренных настоящей Схемой теплоснабжения, планируется осуществлять за счет финансовых средств ресурсоснабжающей организации в рамках инвестиционной программы.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Увеличение размера тарифов на тепловую энергию для потребителей Тайшетского городского поселения на перспективу будет осуществляться за счет его увеличения, в соответствии с установленными </w:t>
      </w:r>
      <w:r>
        <w:rPr>
          <w:rFonts w:eastAsiaTheme="minorHAnsi"/>
          <w:lang w:eastAsia="en-US"/>
        </w:rPr>
        <w:t xml:space="preserve">Министерством экономического развития Российской Федерации индексами-дефляторами</w:t>
      </w:r>
      <w:r>
        <w:rPr>
          <w:rFonts w:eastAsiaTheme="minorEastAsia"/>
        </w:rPr>
        <w:t xml:space="preserve">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jc w:val="center"/>
        <w:keepLines/>
        <w:keepNext/>
        <w:widowControl w:val="off"/>
        <w:rPr>
          <w:rFonts w:eastAsiaTheme="majorEastAsia"/>
          <w:bCs/>
          <w:caps/>
          <w:szCs w:val="26"/>
        </w:rPr>
      </w:pPr>
      <w:r/>
      <w:bookmarkStart w:id="136" w:name="_Toc149055666"/>
      <w:r>
        <w:rPr>
          <w:rFonts w:eastAsiaTheme="majorEastAsia"/>
          <w:bCs/>
          <w:caps/>
          <w:szCs w:val="26"/>
        </w:rPr>
        <w:t xml:space="preserve">ГЛАВА 13. ИНДИКАТОРЫ РАЗВИТИЯ СИСТЕМ ТЕПЛОСНАБЖЕНИЯ ТАЙШЕТСКОГО МУНИЦИПАЛЬНОГО ОБРАЗОВАНИЯ «ТАЙШЕТСКОЕ ГОРОДСКОЕ ПОСЕЛЕНИЕ»</w:t>
      </w:r>
      <w:bookmarkEnd w:id="136"/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Индикаторы развития систем теплоснабжения Тайшетского городского поселения содержат результаты оценки существующих и перспективных значений следующих индикаторов развития систем теплоснабжения, рассчитанных в соответствии с </w:t>
      </w:r>
      <w:r>
        <w:rPr>
          <w:rFonts w:eastAsiaTheme="minorHAnsi"/>
          <w:lang w:eastAsia="en-US"/>
        </w:rPr>
        <w:t xml:space="preserve">методическими указаниями по разработке схем теплоснабжения согласно постановлению правительства Российской Федерации от 22 февраля 2012 года №154 «О требованиях к схемам теплоснабжения, порядку их разработки и утверждения».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Индикаторами развития системы теплоснабжения являются: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а) количество прекращений подачи тепловой энергии, теплоносителя в результате технологических нарушений на тепловых сетях;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б) количество прекращений подачи тепловой энергии, теплоносителя в результате технологических нарушений на источниках тепловой энергии;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в) удельный расход условного топлива на единицу тепловой энергии, отпускаемой с коллекторов источников тепловой энергии (отдельно для тепловых электрических станций и котельных);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г) отношение величины технологических потерь тепловой энергии, теплоносителя к материальной характеристике тепловой сети;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д) коэффициент использования установленной тепловой мощности;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е) удельная материальная характеристика тепловых сетей, приведенная к расчетной тепловой нагрузке;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ж) дол</w:t>
      </w:r>
      <w:r>
        <w:rPr>
          <w:rFonts w:eastAsiaTheme="minorHAnsi"/>
          <w:lang w:eastAsia="en-US"/>
        </w:rPr>
        <w:t xml:space="preserve">я тепловой энергии, выработанной в комбинированном режиме (как отношение величины тепловой энергии, отпущенной из отборов турбоагрегатов, к общей величине выработанной тепловой энергии в границах поселения, городского округа, города федерального значения);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з) удельный расход условного топлива на отпуск электрической энергии;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и) коэффициент использования теплоты топлива (только для источников тепловой энергии, функционирующих в режиме комбинированной выработки электрической и тепловой энергии);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к) доля отпуска тепловой энергии, осуществляемого потребителям по приборам учета, в общем объеме отпущенной тепловой энергии;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л) средневзвешенный (по материальной характеристике) срок эксплуатации тепловых сетей (для каждой системы теплоснабжения);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м) отношение материальной характеристики тепловых сетей, реконструированных за год, к общей материальной характеристике </w:t>
      </w:r>
      <w:r>
        <w:rPr>
          <w:rFonts w:eastAsiaTheme="minorHAnsi"/>
          <w:lang w:eastAsia="en-US"/>
        </w:rPr>
        <w:t xml:space="preserve">тепловых сетей (фактическое значение за отчетный период и прогноз изменения при реализации проектов, указанных в утвержденной схеме теплоснабжения) (для каждой системы теплоснабжения, а также для поселения, городского округа, города федерального значения);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н) отношение установленной тепловой мощности оборудования источников теплово</w:t>
      </w:r>
      <w:r>
        <w:rPr>
          <w:rFonts w:eastAsiaTheme="minorHAnsi"/>
          <w:lang w:eastAsia="en-US"/>
        </w:rPr>
        <w:t xml:space="preserve">й энергии, реконструированного за год, к общей установленной тепловой мощности источников тепловой энергии (фактическое значение за отчетный период и прогноз изменения при реализации проектов, указанных в утвержденной схеме теплоснабжения) (для поселения);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о) отсутствие зафиксированных фактов нарушения антимонопольного законодательства (выданных предупреждений, предписаний), а также отсутствие применения санкций, предусмотренных </w:t>
      </w:r>
      <w:hyperlink r:id="rId15" w:tooltip="https://login.consultant.ru/link/?req=doc&amp;base=LAW&amp;n=438469&amp;date=20.02.2023" w:history="1">
        <w:r>
          <w:rPr>
            <w:rFonts w:eastAsiaTheme="minorHAnsi"/>
            <w:lang w:eastAsia="en-US"/>
          </w:rPr>
          <w:t xml:space="preserve">Кодексом</w:t>
        </w:r>
      </w:hyperlink>
      <w:r>
        <w:rPr>
          <w:rFonts w:eastAsiaTheme="minorHAnsi"/>
          <w:lang w:eastAsia="en-US"/>
        </w:rPr>
        <w:t xml:space="preserve"> Российской Федерации об административных правонарушениях, за нарушение законодательства Российской Федерации в сфере теплоснабжения, антимонопольного законодательства Российской Федерации, законодательства Российской Федерации о естественных монополиях.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Существующие и перспективные индикаторы развития систем теплоснабжения Тайшетского городского поселения представлены в Таблице 54.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right="-315"/>
        <w:jc w:val="right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</w:rPr>
        <w:sectPr>
          <w:footnotePr/>
          <w:endnotePr/>
          <w:type w:val="nextPage"/>
          <w:pgSz w:w="11906" w:h="16838" w:orient="portrait"/>
          <w:pgMar w:top="1134" w:right="851" w:bottom="1134" w:left="1701" w:header="340" w:footer="0" w:gutter="0"/>
          <w:cols w:num="1" w:sep="0" w:space="708" w:equalWidth="1"/>
          <w:docGrid w:linePitch="360"/>
          <w:titlePg/>
        </w:sectPr>
      </w:pPr>
      <w:r>
        <w:rPr>
          <w:rFonts w:eastAsiaTheme="minorEastAsia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right="-315"/>
        <w:jc w:val="right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Таблица 54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Существующие и перспективные индикаторы развития систем теплоснабжения Тайшетского городского поселения 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</w:r>
      <w:r>
        <w:rPr>
          <w:rFonts w:eastAsiaTheme="minorEastAsia"/>
        </w:rPr>
      </w:r>
      <w:r>
        <w:rPr>
          <w:rFonts w:eastAsiaTheme="minorEastAsia"/>
        </w:rPr>
      </w:r>
    </w:p>
    <w:tbl>
      <w:tblPr>
        <w:tblW w:w="15536" w:type="dxa"/>
        <w:tblInd w:w="108" w:type="dxa"/>
        <w:tblLook w:val="04A0" w:firstRow="1" w:lastRow="0" w:firstColumn="1" w:lastColumn="0" w:noHBand="0" w:noVBand="1"/>
      </w:tblPr>
      <w:tblGrid>
        <w:gridCol w:w="3544"/>
        <w:gridCol w:w="1202"/>
        <w:gridCol w:w="1193"/>
        <w:gridCol w:w="1193"/>
        <w:gridCol w:w="1193"/>
        <w:gridCol w:w="1213"/>
        <w:gridCol w:w="996"/>
        <w:gridCol w:w="996"/>
        <w:gridCol w:w="996"/>
        <w:gridCol w:w="996"/>
        <w:gridCol w:w="996"/>
        <w:gridCol w:w="996"/>
        <w:gridCol w:w="22"/>
      </w:tblGrid>
      <w:tr>
        <w:tblPrEx/>
        <w:trPr>
          <w:gridAfter w:val="1"/>
          <w:trHeight w:val="795"/>
          <w:tblHeader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Наименование индикатора развития системы теплоснабжения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Единица измерения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2022</w:t>
            </w:r>
            <w:r>
              <w:rPr>
                <w:bCs/>
                <w:sz w:val="22"/>
                <w:szCs w:val="22"/>
              </w:rPr>
              <w:br/>
              <w:t xml:space="preserve">факт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2023</w:t>
            </w:r>
            <w:r>
              <w:rPr>
                <w:bCs/>
                <w:sz w:val="22"/>
                <w:szCs w:val="22"/>
              </w:rPr>
              <w:br/>
              <w:t xml:space="preserve">факт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2029-2033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2034-2038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2039-2041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 прекращений теплоносителя в результате технологических нарушений на тепловых сетях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единица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 xml:space="preserve">5</w:t>
            </w:r>
            <w:r>
              <w:rPr>
                <w:sz w:val="22"/>
                <w:szCs w:val="22"/>
                <w:lang w:val="en-US"/>
              </w:rPr>
            </w:r>
            <w:r>
              <w:rPr>
                <w:sz w:val="22"/>
                <w:szCs w:val="22"/>
                <w:lang w:val="en-US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 прекращений теплоносителя в результате технологических нарушений на источниках тепловой энергии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единица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15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Удельный расход условного топлива на единицу тепловой энергии, отпускаемой с коллекторов источников тепловой энергии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 у.т./Гкал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213</w:t>
            </w:r>
            <w:r>
              <w:rPr>
                <w:sz w:val="22"/>
                <w:szCs w:val="22"/>
              </w:rPr>
              <w:t xml:space="preserve">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218,6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218,6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218,6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218,6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218,6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218,6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218,6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13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3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Отношение величины технологических потерь тепловой энергии, теплоносителя к материальной характеристике тепловой сети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Гкал/м</w:t>
            </w:r>
            <w:r>
              <w:rPr>
                <w:sz w:val="22"/>
                <w:szCs w:val="22"/>
                <w:vertAlign w:val="superscript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2 (ШПЗ)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Гкал/м</w:t>
            </w:r>
            <w:r>
              <w:rPr>
                <w:sz w:val="22"/>
                <w:szCs w:val="22"/>
                <w:vertAlign w:val="superscript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3 (Мелькомбинат)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Гкал/м</w:t>
            </w:r>
            <w:r>
              <w:rPr>
                <w:sz w:val="22"/>
                <w:szCs w:val="22"/>
                <w:vertAlign w:val="superscript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4 (Экспедиция 5)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Гкал/м</w:t>
            </w:r>
            <w:r>
              <w:rPr>
                <w:sz w:val="22"/>
                <w:szCs w:val="22"/>
                <w:vertAlign w:val="superscript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5 (Совхоз)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Гкал/м</w:t>
            </w:r>
            <w:r>
              <w:rPr>
                <w:sz w:val="22"/>
                <w:szCs w:val="22"/>
                <w:vertAlign w:val="superscript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13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3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Коэффициент использования установленной тепловой мощности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0,268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2 (ШПЗ)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0,307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3 (Мелькомбинат)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0,160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0,160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0,160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4 (Экспедиция 5)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0,315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5 (Совхоз)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0,176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Удельная материальная характеристика тепловых сетей, приведенная к расчетной тепловой нагрузке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</w:t>
            </w:r>
            <w:r>
              <w:rPr>
                <w:sz w:val="22"/>
                <w:szCs w:val="22"/>
                <w:vertAlign w:val="superscript"/>
              </w:rPr>
              <w:t xml:space="preserve">2</w:t>
            </w:r>
            <w:r>
              <w:rPr>
                <w:sz w:val="22"/>
                <w:szCs w:val="22"/>
              </w:rPr>
              <w:t xml:space="preserve">/Гкал/ч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Доля тепловой энергии, выработанной в комбинированном режиме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 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Коэффициент использования теплоты топлива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 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1278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Доля отпуска тепловой энергии, осуществляемого потребителям по приборам учета, в общем объеме отпущенной тепловой энергии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13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3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Средневзвешенный (по материальной характеристике) срок эксплуатации тепловых сетей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лет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2 (ШПЗ)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лет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3 (Мелькомбинат)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лет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4 (Экспедиция 5)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лет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5 (Совхоз)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лет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gridSpan w:val="13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3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Отношение материальной характеристики тепловых сетей, реконструированных за год, к общей материальной характеристике тепловых сетей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2 (ШПЗ)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3 (Мелькомбинат)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4 (Экспедиция 5)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5 (Совхоз)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gridSpan w:val="13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3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Отношение установленной тепловой мощности оборудования источников тепловой энергии, реконструированного за год, к общей установленной тепловой мощности источников тепловой энергии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2 (ШПЗ)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3 (Мелькомбинат)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4 (Экспедиция 5)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5 (Совхоз)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%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gridAfter w:val="1"/>
          <w:trHeight w:val="3396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Зафиксированные факты нарушения анти</w:t>
            </w:r>
            <w:r>
              <w:rPr>
                <w:sz w:val="22"/>
                <w:szCs w:val="22"/>
              </w:rPr>
              <w:t xml:space="preserve">монопольного законодательства, применение санкций, предусмотренных Кодексом РФ об административных правонарушениях за нарушение законодательства РФ в сфере теплоснабжения, антимонопольного законодательства РФ, законодательства РФ об естественных монополиях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0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единица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1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ind w:firstLine="709"/>
        <w:jc w:val="both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</w:rPr>
        <w:sectPr>
          <w:footnotePr/>
          <w:endnotePr/>
          <w:type w:val="nextPage"/>
          <w:pgSz w:w="16838" w:h="11906" w:orient="landscape"/>
          <w:pgMar w:top="709" w:right="851" w:bottom="851" w:left="851" w:header="340" w:footer="0" w:gutter="0"/>
          <w:cols w:num="1" w:sep="0" w:space="708" w:equalWidth="1"/>
          <w:docGrid w:linePitch="360"/>
          <w:titlePg/>
        </w:sectPr>
      </w:pPr>
      <w:r>
        <w:rPr>
          <w:rFonts w:eastAsiaTheme="minorEastAsia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jc w:val="center"/>
        <w:keepLines/>
        <w:keepNext/>
        <w:widowControl w:val="off"/>
        <w:rPr>
          <w:rFonts w:eastAsiaTheme="majorEastAsia"/>
          <w:bCs/>
          <w:caps/>
          <w:szCs w:val="26"/>
        </w:rPr>
      </w:pPr>
      <w:r/>
      <w:bookmarkStart w:id="137" w:name="_Toc149055667"/>
      <w:r>
        <w:rPr>
          <w:rFonts w:eastAsiaTheme="majorEastAsia"/>
          <w:bCs/>
          <w:caps/>
          <w:szCs w:val="26"/>
        </w:rPr>
        <w:t xml:space="preserve">ГЛАВА 14. ЦЕНОВЫЕ (ТАРИФНЫЕ) ПОСЛЕДСТВИЯ</w:t>
      </w:r>
      <w:bookmarkEnd w:id="137"/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38" w:name="_Toc149055668"/>
      <w:r>
        <w:rPr>
          <w:rFonts w:eastAsiaTheme="majorEastAsia"/>
          <w:bCs/>
        </w:rPr>
        <w:t xml:space="preserve">14.1. Тарифно-балансовые </w:t>
      </w:r>
      <w:r>
        <w:rPr>
          <w:rFonts w:eastAsiaTheme="majorEastAsia"/>
          <w:bCs/>
        </w:rPr>
        <w:t xml:space="preserve">расчетные модели теплоснабжения потребителей по каждой системе теплоснабжения</w:t>
      </w:r>
      <w:bookmarkEnd w:id="138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  <w:spacing w:val="-6"/>
        </w:rPr>
      </w:pPr>
      <w:r>
        <w:rPr>
          <w:rFonts w:eastAsiaTheme="minorEastAsia"/>
        </w:rPr>
        <w:t xml:space="preserve">Существующие отчетного (базового)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года и перспективные тарифно-</w:t>
      </w:r>
      <w:r>
        <w:rPr>
          <w:rFonts w:eastAsiaTheme="minorEastAsia"/>
          <w:spacing w:val="-6"/>
        </w:rPr>
        <w:t xml:space="preserve">балансовые расчетные модели теплоснабжения потребителей по системам теплоснабжения котельных Тайшетского городского поселения представлены в Таблице 55.</w:t>
      </w:r>
      <w:r>
        <w:rPr>
          <w:rFonts w:eastAsiaTheme="minorEastAsia"/>
          <w:spacing w:val="-6"/>
        </w:rPr>
      </w:r>
      <w:r>
        <w:rPr>
          <w:rFonts w:eastAsiaTheme="minorEastAsia"/>
          <w:spacing w:val="-6"/>
        </w:rPr>
      </w:r>
    </w:p>
    <w:p>
      <w:pPr>
        <w:jc w:val="right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Таблица 55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Существующие отчетного (базового) 202</w:t>
      </w:r>
      <w:r>
        <w:rPr>
          <w:rFonts w:eastAsiaTheme="minorEastAsia"/>
        </w:rPr>
        <w:t xml:space="preserve">4</w:t>
      </w:r>
      <w:r>
        <w:rPr>
          <w:rFonts w:eastAsiaTheme="minorEastAsia"/>
        </w:rPr>
        <w:t xml:space="preserve"> года и перспективные 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тарифно-балансовые расчетные модели теплоснабжения потребителей по системам теплоснабжения Тайшетского городского поселения</w:t>
      </w:r>
      <w:r>
        <w:rPr>
          <w:rFonts w:eastAsiaTheme="minorEastAsia"/>
        </w:rPr>
      </w:r>
      <w:r>
        <w:rPr>
          <w:rFonts w:eastAsiaTheme="minorEastAsia"/>
        </w:rPr>
      </w:r>
    </w:p>
    <w:tbl>
      <w:tblPr>
        <w:tblW w:w="10273" w:type="dxa"/>
        <w:tblInd w:w="-871" w:type="dxa"/>
        <w:tblLayout w:type="fixed"/>
        <w:tblLook w:val="04A0" w:firstRow="1" w:lastRow="0" w:firstColumn="1" w:lastColumn="0" w:noHBand="0" w:noVBand="1"/>
      </w:tblPr>
      <w:tblGrid>
        <w:gridCol w:w="1736"/>
        <w:gridCol w:w="931"/>
        <w:gridCol w:w="931"/>
        <w:gridCol w:w="797"/>
        <w:gridCol w:w="850"/>
        <w:gridCol w:w="851"/>
        <w:gridCol w:w="850"/>
        <w:gridCol w:w="851"/>
        <w:gridCol w:w="850"/>
        <w:gridCol w:w="851"/>
        <w:gridCol w:w="775"/>
      </w:tblGrid>
      <w:tr>
        <w:tblPrEx/>
        <w:trPr>
          <w:trHeight w:val="300"/>
          <w:tblHeader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/>
            <w:bookmarkStart w:id="139" w:name="_Toc149055669"/>
            <w:r>
              <w:rPr>
                <w:sz w:val="22"/>
                <w:szCs w:val="22"/>
              </w:rPr>
              <w:t xml:space="preserve">Наименование показателя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0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Показатели существующих и перспективных тарифно-балансовыхрасчетных моделей теплоснабжения потребителей по системе теплоснабжения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  <w:tblHeader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2029-2033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2034-2038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2039-2041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Индексы-дефляторы объема платных услуг населению, установленные Министерством экономического развития РФ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104,7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104,3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15"/>
        </w:trPr>
        <w:tc>
          <w:tcPr>
            <w:gridSpan w:val="11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27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№1 (ТКСИ)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 тепловой мощности, Гкал/час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 тепловой энергии, Гкал/час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20,54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21,94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23,72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28,24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29,88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38,14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45,11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Топливный баланс, т у.т/год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20380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18612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19430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19471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20653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26367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31184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34274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34274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34274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15"/>
        </w:trPr>
        <w:tc>
          <w:tcPr>
            <w:gridSpan w:val="11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27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2 (ШПЗ)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 тепловой мощности, Гкал/час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 тепловой энергии, Гкал/час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33,39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33,39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34,40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34,89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35,10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35,10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35,10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37,88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37,88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37,88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Топливный баланс, т у.т/год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26379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25745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25973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26164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26365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26365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26365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28453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28453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28453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15"/>
        </w:trPr>
        <w:tc>
          <w:tcPr>
            <w:gridSpan w:val="11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27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3 (Мелькомбинат)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 тепловой мощности, Гкал/час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 тепловой энергии, Гкал/час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2,22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2,661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2,661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2,661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Топливный баланс, т у.т/год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15"/>
        </w:trPr>
        <w:tc>
          <w:tcPr>
            <w:gridSpan w:val="11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27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4 (Экспедиция 5)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 тепловой мощности, Гкал/час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 тепловой энергии, Гкал/час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Топливный баланс, т у.т/год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1398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1175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1115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1117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15"/>
        </w:trPr>
        <w:tc>
          <w:tcPr>
            <w:gridSpan w:val="11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27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№ 5 (Совхоз)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 тепловой мощности, Гкал/час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 тепловой энергии, Гкал/час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Топливный баланс, т у.т/год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408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570"/>
        </w:trPr>
        <w:tc>
          <w:tcPr>
            <w:gridSpan w:val="11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27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Электрокотельная ДТВ ОАО «РЖД»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 тепловой мощности, Гкал/час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15,48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 тепловой энергии, Гкал/час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Топливный баланс, кВт.ч/год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31041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31041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31041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31041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31041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31041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31041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31041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31041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31041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15"/>
        </w:trPr>
        <w:tc>
          <w:tcPr>
            <w:gridSpan w:val="11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273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Электрокотельная ПС-500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 тепловой мощности, Гкал/час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 тепловой энергии, Гкал/час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0,2596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0,2596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0,2596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0,2596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0,2596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0,2596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0,2596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0,2596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0,2596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0,2596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Топливный баланс, кВт.ч/год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1359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1359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1359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1359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1359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1359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1359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1359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1359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1359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15"/>
        </w:trPr>
        <w:tc>
          <w:tcPr>
            <w:gridSpan w:val="11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273" w:type="dxa"/>
            <w:vAlign w:val="center"/>
            <w:textDirection w:val="lrTb"/>
            <w:noWrap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Итого по муниципальному образованию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 тепловой мощности, Гкал/час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127,14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127,14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127,14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127,14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127,14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127,14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127,14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127,14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127,14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127,14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 тепловой энергии, Гкал/час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64,8696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66,2656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69,0523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74,0663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75,9183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84,1843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91,1519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98,8429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98,8429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98,8429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Топливный баланс, т у.т/год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50971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47956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49191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49295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50684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56398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61214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66813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66813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66813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36" w:type="dxa"/>
            <w:vAlign w:val="center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Топливный баланс, кВт.ч/год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15554,8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15554,8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9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15554,8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15554,8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15554,8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15554,8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15554,8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15554,8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15554,8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15554,8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>
        <w:rPr>
          <w:rFonts w:eastAsiaTheme="majorEastAsia"/>
          <w:bCs/>
        </w:rPr>
      </w:r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>
        <w:rPr>
          <w:rFonts w:eastAsiaTheme="majorEastAsia"/>
          <w:bCs/>
        </w:rPr>
        <w:t xml:space="preserve">14.2. Тарифно-балансовые расчетные модели теплоснабжения потребителей по каждой единой теплоснабжающей организации</w:t>
      </w:r>
      <w:bookmarkEnd w:id="139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rPr>
          <w:rFonts w:eastAsiaTheme="minorEastAsia"/>
        </w:rPr>
      </w:pPr>
      <w:r>
        <w:rPr>
          <w:rFonts w:eastAsiaTheme="minorEastAsia"/>
        </w:rPr>
        <w:t xml:space="preserve">Существующие отчетного (базового) </w:t>
      </w:r>
      <w:r>
        <w:rPr>
          <w:rFonts w:eastAsiaTheme="minorEastAsia"/>
          <w:color w:val="ff0000"/>
        </w:rPr>
        <w:t xml:space="preserve">202</w:t>
      </w:r>
      <w:r>
        <w:rPr>
          <w:rFonts w:eastAsiaTheme="minorEastAsia"/>
          <w:color w:val="ff0000"/>
        </w:rPr>
        <w:t xml:space="preserve">4</w:t>
      </w:r>
      <w:r>
        <w:rPr>
          <w:rFonts w:eastAsiaTheme="minorEastAsia"/>
        </w:rPr>
        <w:t xml:space="preserve"> года и перспективные тарифно-балансовые расчетные модели теплоснабжения потребителей по единой теплоснабжающей организации Тайшетского городского поселения АО «</w:t>
      </w:r>
      <w:r>
        <w:rPr>
          <w:rFonts w:eastAsiaTheme="minorHAnsi"/>
          <w:lang w:eastAsia="en-US"/>
        </w:rPr>
        <w:t xml:space="preserve">Байкалэнерго» представлены в Таблице 56.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right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Таблица 56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Существующие отчетного (базового) </w:t>
      </w:r>
      <w:r>
        <w:rPr>
          <w:rFonts w:eastAsiaTheme="minorEastAsia"/>
          <w:color w:val="ff0000"/>
        </w:rPr>
        <w:t xml:space="preserve">202</w:t>
      </w:r>
      <w:r>
        <w:rPr>
          <w:rFonts w:eastAsiaTheme="minorEastAsia"/>
          <w:color w:val="ff0000"/>
        </w:rPr>
        <w:t xml:space="preserve">4</w:t>
      </w:r>
      <w:r>
        <w:rPr>
          <w:rFonts w:eastAsiaTheme="minorEastAsia"/>
        </w:rPr>
        <w:t xml:space="preserve"> года и перспективные тарифно-балансовые расчетные модели теплоснабжения потребителей по единой теплоснабжающей организации Тайшетского городского поселения</w:t>
      </w:r>
      <w:r>
        <w:rPr>
          <w:rFonts w:eastAsiaTheme="minorEastAsia"/>
        </w:rPr>
      </w:r>
      <w:r>
        <w:rPr>
          <w:rFonts w:eastAsiaTheme="minorEastAsia"/>
        </w:rPr>
      </w:r>
    </w:p>
    <w:tbl>
      <w:tblPr>
        <w:tblW w:w="10773" w:type="dxa"/>
        <w:tblInd w:w="-88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766"/>
        <w:gridCol w:w="793"/>
        <w:gridCol w:w="766"/>
        <w:gridCol w:w="794"/>
        <w:gridCol w:w="850"/>
        <w:gridCol w:w="851"/>
        <w:gridCol w:w="850"/>
        <w:gridCol w:w="851"/>
        <w:gridCol w:w="850"/>
        <w:gridCol w:w="992"/>
      </w:tblGrid>
      <w:tr>
        <w:tblPrEx/>
        <w:trPr>
          <w:trHeight w:val="60"/>
        </w:trPr>
        <w:tc>
          <w:tcPr>
            <w:tcW w:w="241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Наименование показателя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gridSpan w:val="10"/>
            <w:tcW w:w="836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67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Показатели существующих и перспективных тарифно-балансовых расчетных моделей теплоснабжения потребителей по единой теплоснабжающей организации муниципального образования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trHeight w:val="277"/>
        </w:trPr>
        <w:tc>
          <w:tcPr>
            <w:tcW w:w="241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66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2022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793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2023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766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2024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794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2025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2026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2027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2028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2029-2033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2034-2038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2039-2041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277"/>
        </w:trPr>
        <w:tc>
          <w:tcPr>
            <w:tcW w:w="2410" w:type="dxa"/>
            <w:vAlign w:val="center"/>
            <w:textDirection w:val="lrTb"/>
            <w:noWrap w:val="false"/>
          </w:tcPr>
          <w:p>
            <w:pPr>
              <w:ind w:right="-108"/>
              <w:jc w:val="both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Индексы-дефляторы объема платных услуг населению, установленные Министерством экономического развития РФ 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66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106,7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93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106,0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66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106,0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94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104,7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104,0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ind w:left="-170" w:right="-170"/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104,3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ind w:left="-170" w:right="-170"/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104,0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ind w:left="-170" w:right="-170"/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104,0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ind w:left="-170" w:right="-170"/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104,0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ind w:left="-170" w:right="-170"/>
              <w:jc w:val="center"/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104,0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277"/>
        </w:trPr>
        <w:tc>
          <w:tcPr>
            <w:tcW w:w="2410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Баланс тепловой мощности, Гкал/час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127,1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127,1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127,1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9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127,1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127,1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127,1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127,1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127,1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127,1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127,1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77"/>
        </w:trPr>
        <w:tc>
          <w:tcPr>
            <w:tcW w:w="2410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Баланс тепловой энергии, Гкал/час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64,9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66,3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69,1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9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74,1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75,9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84,2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98,8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98,8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98,8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77"/>
        </w:trPr>
        <w:tc>
          <w:tcPr>
            <w:tcW w:w="2410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Топливный баланс, т у.т/год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50971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9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47956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6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49191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9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49295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50684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56398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61214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66813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66813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66813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77"/>
        </w:trPr>
        <w:tc>
          <w:tcPr>
            <w:tcW w:w="2410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Топливный баланс, кВт.ч/год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66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15554,8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93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15554,8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66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15554,8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794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15554,8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15554,8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15554,8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15554,8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15554,8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15554,8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15554,8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</w:tr>
    </w:tbl>
    <w:p>
      <w:pPr>
        <w:ind w:firstLine="709"/>
        <w:jc w:val="both"/>
        <w:keepLines/>
        <w:keepNext/>
        <w:widowControl w:val="off"/>
        <w:rPr>
          <w:rFonts w:eastAsiaTheme="majorEastAsia"/>
        </w:rPr>
      </w:pPr>
      <w:r>
        <w:rPr>
          <w:rFonts w:eastAsiaTheme="majorEastAsia"/>
          <w:bCs/>
          <w:highlight w:val="none"/>
        </w:rPr>
      </w:r>
      <w:r>
        <w:rPr>
          <w:rFonts w:eastAsiaTheme="majorEastAsia"/>
        </w:rPr>
      </w:r>
      <w:r>
        <w:rPr>
          <w:rFonts w:eastAsiaTheme="maj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highlight w:val="none"/>
        </w:rPr>
      </w:pPr>
      <w:r/>
      <w:bookmarkStart w:id="140" w:name="_Toc149055670"/>
      <w:r>
        <w:rPr>
          <w:rFonts w:eastAsiaTheme="majorEastAsia"/>
          <w:bCs/>
        </w:rPr>
        <w:t xml:space="preserve">14.3. Результаты оценки ценовых (тарифных) последствий реализации проектов схемы теплоснабжения на основании разработанных тарифно-балансовых моделей</w:t>
      </w:r>
      <w:bookmarkEnd w:id="140"/>
      <w:r>
        <w:rPr>
          <w:rFonts w:eastAsiaTheme="majorEastAsia"/>
          <w:highlight w:val="none"/>
        </w:rPr>
      </w:r>
      <w:r>
        <w:rPr>
          <w:rFonts w:eastAsiaTheme="majorEastAsia"/>
          <w:highlight w:val="none"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Существующий отчетный (базовый) 2023 год и перспективные размеры тарифов на тепловую энергию, поставляемую потребителям Тайшетского городского поселения, представлены в Таблице 57.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hanging="142"/>
        <w:jc w:val="right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Таблица 57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Существующий отчетный (базовый) 2023 год и перспективные 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размеры тарифов на тепловую энергию, поставляемую потребителям 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Тайшетского городского поселения</w:t>
      </w:r>
      <w:r>
        <w:rPr>
          <w:rFonts w:eastAsiaTheme="minorEastAsia"/>
        </w:rPr>
      </w:r>
      <w:r>
        <w:rPr>
          <w:rFonts w:eastAsiaTheme="minorEastAsia"/>
        </w:rPr>
      </w:r>
    </w:p>
    <w:tbl>
      <w:tblPr>
        <w:tblW w:w="5526" w:type="pct"/>
        <w:tblInd w:w="-88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1092"/>
        <w:gridCol w:w="523"/>
        <w:gridCol w:w="657"/>
        <w:gridCol w:w="781"/>
        <w:gridCol w:w="775"/>
        <w:gridCol w:w="770"/>
        <w:gridCol w:w="657"/>
        <w:gridCol w:w="719"/>
        <w:gridCol w:w="719"/>
        <w:gridCol w:w="719"/>
        <w:gridCol w:w="727"/>
        <w:gridCol w:w="737"/>
      </w:tblGrid>
      <w:tr>
        <w:tblPrEx/>
        <w:trPr>
          <w:trHeight w:val="1015"/>
        </w:trPr>
        <w:tc>
          <w:tcPr>
            <w:shd w:val="clear" w:color="auto" w:fill="auto"/>
            <w:tcW w:w="170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Наименование показателя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1092" w:type="dxa"/>
            <w:vAlign w:val="center"/>
            <w:vMerge w:val="restart"/>
            <w:textDirection w:val="lrTb"/>
            <w:noWrap w:val="false"/>
          </w:tcPr>
          <w:p>
            <w:pPr>
              <w:ind w:left="-50" w:right="-51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Категория потребителей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52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п/г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gridSpan w:val="10"/>
            <w:shd w:val="clear" w:color="auto" w:fill="auto"/>
            <w:tcW w:w="7261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Существующий и перспективные размеры тарифов на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тепловую энергию, поставляемую потребителям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муниципального образования, руб./Гкал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trHeight w:val="539"/>
        </w:trPr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1092" w:type="dxa"/>
            <w:vAlign w:val="center"/>
            <w:vMerge w:val="continue"/>
            <w:textDirection w:val="lrTb"/>
            <w:noWrap w:val="false"/>
          </w:tcPr>
          <w:p>
            <w:pPr>
              <w:ind w:left="-50" w:right="-51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52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2022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781" w:type="dxa"/>
            <w:vAlign w:val="center"/>
            <w:textDirection w:val="lrTb"/>
            <w:noWrap w:val="false"/>
          </w:tcPr>
          <w:p>
            <w:pPr>
              <w:ind w:left="-45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2023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775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2024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2025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2026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2027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2028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lrTb"/>
            <w:noWrap w:val="false"/>
          </w:tcPr>
          <w:p>
            <w:pPr>
              <w:ind w:left="-23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2029-2033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shd w:val="clear" w:color="auto" w:fill="auto"/>
            <w:tcW w:w="727" w:type="dxa"/>
            <w:vAlign w:val="center"/>
            <w:textDirection w:val="lrTb"/>
            <w:noWrap w:val="false"/>
          </w:tcPr>
          <w:p>
            <w:pPr>
              <w:ind w:left="-32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2034-2038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  <w:tc>
          <w:tcPr>
            <w:tcW w:w="737" w:type="dxa"/>
            <w:vAlign w:val="center"/>
            <w:textDirection w:val="lrTb"/>
            <w:noWrap w:val="false"/>
          </w:tcPr>
          <w:p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2039-2041 </w:t>
            </w:r>
            <w:r>
              <w:rPr>
                <w:bCs/>
                <w:sz w:val="22"/>
                <w:szCs w:val="22"/>
              </w:rPr>
            </w:r>
            <w:r>
              <w:rPr>
                <w:bCs/>
                <w:sz w:val="22"/>
                <w:szCs w:val="22"/>
              </w:rPr>
            </w:r>
          </w:p>
        </w:tc>
      </w:tr>
      <w:tr>
        <w:tblPrEx/>
        <w:trPr>
          <w:cantSplit/>
          <w:trHeight w:val="1018"/>
        </w:trPr>
        <w:tc>
          <w:tcPr>
            <w:shd w:val="clear" w:color="auto" w:fill="auto"/>
            <w:tcW w:w="1701" w:type="dxa"/>
            <w:vAlign w:val="center"/>
            <w:vMerge w:val="restart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Размер тарифа на тепловую энергию, поставляемую потребителям котельных №1, №2, №3, №4, №5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092" w:type="dxa"/>
            <w:vAlign w:val="center"/>
            <w:vMerge w:val="restart"/>
            <w:textDirection w:val="lrTb"/>
            <w:noWrap w:val="false"/>
          </w:tcPr>
          <w:p>
            <w:pPr>
              <w:ind w:left="-50" w:right="-5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Население (с НДС)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2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1905,76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81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2169,70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2169,7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2397,5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2218,73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2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3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092" w:type="dxa"/>
            <w:vAlign w:val="center"/>
            <w:vMerge w:val="continue"/>
            <w:textDirection w:val="lrTb"/>
            <w:noWrap w:val="false"/>
          </w:tcPr>
          <w:p>
            <w:pPr>
              <w:ind w:left="-50" w:right="-5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2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1972,46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81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2169,70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2397,5,4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2218,73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2307,47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2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3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092" w:type="dxa"/>
            <w:vAlign w:val="center"/>
            <w:vMerge w:val="restart"/>
            <w:textDirection w:val="lrTb"/>
            <w:noWrap w:val="false"/>
          </w:tcPr>
          <w:p>
            <w:pPr>
              <w:ind w:left="-50" w:right="-5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Промышленные объекты (без НДС)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2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1739,04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81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2220,89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2220,89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2485,64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2163,91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2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3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092" w:type="dxa"/>
            <w:vAlign w:val="center"/>
            <w:vMerge w:val="continue"/>
            <w:textDirection w:val="lrTb"/>
            <w:noWrap w:val="false"/>
          </w:tcPr>
          <w:p>
            <w:pPr>
              <w:ind w:left="-50" w:right="-5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2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1877,06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81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2220,89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2485,64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2163,91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2192,04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2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3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092" w:type="dxa"/>
            <w:vAlign w:val="center"/>
            <w:vMerge w:val="restart"/>
            <w:textDirection w:val="lrTb"/>
            <w:noWrap w:val="false"/>
          </w:tcPr>
          <w:p>
            <w:pPr>
              <w:ind w:left="-50" w:right="-5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Социальные учреждения (без НДС)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2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1739,04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81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2220,89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2220,89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2485,64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2163,91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2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3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092" w:type="dxa"/>
            <w:vAlign w:val="center"/>
            <w:vMerge w:val="continue"/>
            <w:textDirection w:val="lrTb"/>
            <w:noWrap w:val="false"/>
          </w:tcPr>
          <w:p>
            <w:pPr>
              <w:ind w:left="-50" w:right="-5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2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1877,06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81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2220,89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2485,64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2163,91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2192,04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2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3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shd w:val="clear" w:color="auto" w:fill="auto"/>
            <w:tcW w:w="1701" w:type="dxa"/>
            <w:vAlign w:val="center"/>
            <w:vMerge w:val="restart"/>
            <w:textDirection w:val="lrTb"/>
            <w:noWrap w:val="false"/>
          </w:tcPr>
          <w:p>
            <w:pPr>
              <w:ind w:right="-7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Размер тарифа на тепловую энергию, поставляемую потребителям электрокотельной ДТВ ОАО «РЖД»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092" w:type="dxa"/>
            <w:vAlign w:val="center"/>
            <w:vMerge w:val="restart"/>
            <w:textDirection w:val="lrTb"/>
            <w:noWrap w:val="false"/>
          </w:tcPr>
          <w:p>
            <w:pPr>
              <w:ind w:left="-50" w:right="-5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Население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2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2201,54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81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2506,43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2506,43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2664,32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2805,52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2917,74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3155,82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2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3155,82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3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3155,82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092" w:type="dxa"/>
            <w:vAlign w:val="center"/>
            <w:vMerge w:val="continue"/>
            <w:textDirection w:val="lrTb"/>
            <w:noWrap w:val="false"/>
          </w:tcPr>
          <w:p>
            <w:pPr>
              <w:ind w:left="-50" w:right="-5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2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2289,6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81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2506,43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2664,32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2805,52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2917,74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3034,44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3155,82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2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3155,82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3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3155,82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092" w:type="dxa"/>
            <w:vAlign w:val="center"/>
            <w:vMerge w:val="restart"/>
            <w:textDirection w:val="lrTb"/>
            <w:noWrap w:val="false"/>
          </w:tcPr>
          <w:p>
            <w:pPr>
              <w:ind w:left="-145" w:right="-14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Промышленные объекты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2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2868,33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81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4322,42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4322,42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4486,19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4655,86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4826,82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5199,06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2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5199,06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3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5199,06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092" w:type="dxa"/>
            <w:vAlign w:val="center"/>
            <w:vMerge w:val="continue"/>
            <w:textDirection w:val="lrTb"/>
            <w:noWrap w:val="false"/>
          </w:tcPr>
          <w:p>
            <w:pPr>
              <w:ind w:left="-50" w:right="-5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2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4037,0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81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4322,42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4486,19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4655,86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4826,82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4999,10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5199,06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2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5199,06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3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5199,06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092" w:type="dxa"/>
            <w:vAlign w:val="center"/>
            <w:vMerge w:val="restart"/>
            <w:textDirection w:val="lrTb"/>
            <w:noWrap w:val="false"/>
          </w:tcPr>
          <w:p>
            <w:pPr>
              <w:ind w:left="-50" w:right="-5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Социальные учреждения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2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2868,33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81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4322,42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4322,42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4486,19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4655,86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4826,82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5199,06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2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5199,06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3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5199,06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092" w:type="dxa"/>
            <w:vAlign w:val="center"/>
            <w:vMerge w:val="continue"/>
            <w:textDirection w:val="lrTb"/>
            <w:noWrap w:val="false"/>
          </w:tcPr>
          <w:p>
            <w:pPr>
              <w:ind w:left="-50" w:right="-5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2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4037,0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81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4322,42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4486,19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4655,86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4826,82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4999,10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5199,06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2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5199,06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3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5199,06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shd w:val="clear" w:color="auto" w:fill="auto"/>
            <w:tcW w:w="1701" w:type="dxa"/>
            <w:vAlign w:val="center"/>
            <w:vMerge w:val="restart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Размер тарифа на тепловую энергию, поставляемую потребителям электрокотельной ПС-500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092" w:type="dxa"/>
            <w:vAlign w:val="center"/>
            <w:vMerge w:val="restart"/>
            <w:textDirection w:val="lrTb"/>
            <w:noWrap w:val="false"/>
          </w:tcPr>
          <w:p>
            <w:pPr>
              <w:ind w:left="-50" w:right="-5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Население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2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1173,78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81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1214,86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1263,44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1366,52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1425,28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1482,29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1482,29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2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1482,29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3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1482,29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092" w:type="dxa"/>
            <w:vAlign w:val="center"/>
            <w:vMerge w:val="continue"/>
            <w:textDirection w:val="lrTb"/>
            <w:noWrap w:val="false"/>
          </w:tcPr>
          <w:p>
            <w:pPr>
              <w:ind w:left="-50" w:right="-5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2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1214,86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81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1263,44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1313,96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1366,52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1425,28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1482,29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1482,29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2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1482,29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3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1482,29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092" w:type="dxa"/>
            <w:vAlign w:val="center"/>
            <w:vMerge w:val="restart"/>
            <w:textDirection w:val="lrTb"/>
            <w:noWrap w:val="false"/>
          </w:tcPr>
          <w:p>
            <w:pPr>
              <w:ind w:left="-50" w:right="-5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Промышленные объекты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2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5269,96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81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6063,04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6277,23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6752,51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7042,87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7324,58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7324,58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2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7324,58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3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7324,58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092" w:type="dxa"/>
            <w:vAlign w:val="center"/>
            <w:vMerge w:val="continue"/>
            <w:textDirection w:val="lrTb"/>
            <w:noWrap w:val="false"/>
          </w:tcPr>
          <w:p>
            <w:pPr>
              <w:ind w:left="-50" w:right="-5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2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6063,04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81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6277,23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6492,82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6752,51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7042,87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7324,58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7324,58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2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7324,58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3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7324,58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1092" w:type="dxa"/>
            <w:vAlign w:val="center"/>
            <w:vMerge w:val="restart"/>
            <w:textDirection w:val="lrTb"/>
            <w:noWrap w:val="false"/>
          </w:tcPr>
          <w:p>
            <w:pPr>
              <w:ind w:left="-50" w:right="-5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Социальные учреждения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2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5269,96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81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6063,04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6277,23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6752,51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7042,87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7324,58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7324,58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2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7324,58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3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7324,58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cantSplit/>
          <w:trHeight w:val="1134"/>
        </w:trPr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09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523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6063,04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81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6277,23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5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6492,82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70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6752,51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65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7042,87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7324,58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19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7324,58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auto"/>
            <w:tcW w:w="72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7324,58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37" w:type="dxa"/>
            <w:vAlign w:val="center"/>
            <w:textDirection w:val="btLr"/>
            <w:noWrap w:val="false"/>
          </w:tcPr>
          <w:p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7324,58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HAnsi"/>
          <w:highlight w:val="none"/>
        </w:rPr>
      </w:pPr>
      <w:r>
        <w:rPr>
          <w:rFonts w:eastAsiaTheme="minorEastAsia"/>
          <w:highlight w:val="none"/>
          <w:shd w:val="clear" w:color="auto" w:fill="ffffff"/>
        </w:rPr>
      </w:r>
      <w:r>
        <w:rPr>
          <w:rFonts w:eastAsiaTheme="minorHAnsi"/>
          <w:highlight w:val="none"/>
        </w:rPr>
      </w:r>
      <w:r>
        <w:rPr>
          <w:rFonts w:eastAsiaTheme="minorHAnsi"/>
          <w:highlight w:val="none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EastAsia"/>
          <w:highlight w:val="none"/>
        </w:rPr>
      </w:pPr>
      <w:r>
        <w:rPr>
          <w:rFonts w:eastAsiaTheme="minorHAnsi"/>
          <w:highlight w:val="none"/>
          <w:lang w:eastAsia="en-US"/>
        </w:rPr>
        <w:t xml:space="preserve">Долгосрочные тарифы </w:t>
      </w:r>
      <w:r>
        <w:rPr>
          <w:rFonts w:eastAsiaTheme="minorEastAsia"/>
          <w:highlight w:val="none"/>
          <w:shd w:val="clear" w:color="auto" w:fill="ffffff"/>
        </w:rPr>
        <w:t xml:space="preserve"> установлены следующими нормативными актами:</w:t>
      </w:r>
      <w:r>
        <w:rPr>
          <w:rFonts w:eastAsiaTheme="minorEastAsia"/>
          <w:highlight w:val="none"/>
        </w:rPr>
      </w:r>
      <w:r>
        <w:rPr>
          <w:rFonts w:eastAsiaTheme="minorEastAsia"/>
          <w:highlight w:val="none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HAnsi"/>
          <w:highlight w:val="none"/>
        </w:rPr>
      </w:pPr>
      <w:r>
        <w:rPr>
          <w:rFonts w:eastAsiaTheme="minorHAnsi"/>
          <w:highlight w:val="none"/>
          <w:lang w:eastAsia="en-US"/>
        </w:rPr>
        <w:t xml:space="preserve">1) Приказ Службы по тарифам Иркутской области от 20 декабря 2021 года № 79-413-спр «Об уста</w:t>
      </w:r>
      <w:r>
        <w:rPr>
          <w:rFonts w:eastAsiaTheme="minorHAnsi"/>
          <w:highlight w:val="none"/>
          <w:lang w:eastAsia="en-US"/>
        </w:rPr>
        <w:t xml:space="preserve">новлении долгосрочных тарифов на тепловую энергию в отношении единой теплоснабжающей организации на территории Тайшетского муниципального образования «Тайшетское городское поселение» в соответствующей зоне деятельности (АО "Байкалэнерго", ИНН 3808108339)» </w:t>
      </w:r>
      <w:r>
        <w:rPr>
          <w:highlight w:val="none"/>
        </w:rPr>
        <w:t xml:space="preserve">(в редакции № 79-477-спр от 20 декабря 2023 года);</w:t>
      </w:r>
      <w:r>
        <w:rPr>
          <w:rFonts w:eastAsiaTheme="minorHAnsi"/>
          <w:highlight w:val="none"/>
        </w:rPr>
      </w:r>
      <w:r>
        <w:rPr>
          <w:rFonts w:eastAsiaTheme="minorHAnsi"/>
          <w:highlight w:val="none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HAnsi"/>
          <w:highlight w:val="none"/>
        </w:rPr>
      </w:pPr>
      <w:r>
        <w:rPr>
          <w:rFonts w:eastAsiaTheme="minorHAnsi"/>
          <w:highlight w:val="none"/>
          <w:lang w:eastAsia="en-US"/>
        </w:rPr>
        <w:t xml:space="preserve">2) Приказ Службы по тарифам Иркутской области от 28 ноября 2022 года № 79-556-спр «Об установлении долгосрочных тарифов на тепловую энергию, поставляемую потребителям ОАО "РЖД" (ИНН 7708503727) на территории Иркутской области»;</w:t>
      </w:r>
      <w:r>
        <w:rPr>
          <w:rFonts w:eastAsiaTheme="minorHAnsi"/>
          <w:highlight w:val="none"/>
        </w:rPr>
      </w:r>
      <w:r>
        <w:rPr>
          <w:rFonts w:eastAsiaTheme="minorHAnsi"/>
          <w:highlight w:val="none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HAnsi"/>
          <w:highlight w:val="none"/>
        </w:rPr>
      </w:pPr>
      <w:r>
        <w:rPr>
          <w:rFonts w:eastAsiaTheme="minorHAnsi"/>
          <w:highlight w:val="none"/>
          <w:lang w:eastAsia="en-US"/>
        </w:rPr>
        <w:t xml:space="preserve">3) Приказ Службы по тарифам Иркутской области от 09 декабря 2021 года № 79-351-спр «Об установлении долгосрочных тарифов на тепловую энергию, поставляемую потребителям ОАО "Иркутская электросетевая компания" (ИНН 3812122706)»</w:t>
      </w:r>
      <w:r>
        <w:rPr>
          <w:highlight w:val="none"/>
        </w:rPr>
        <w:t xml:space="preserve"> (в редакции № 79-427-спр  от 28 ноября 2022 года).</w:t>
      </w:r>
      <w:r>
        <w:rPr>
          <w:rFonts w:eastAsiaTheme="minorHAnsi"/>
          <w:highlight w:val="none"/>
        </w:rPr>
      </w:r>
      <w:r>
        <w:rPr>
          <w:rFonts w:eastAsiaTheme="minorHAnsi"/>
          <w:highlight w:val="none"/>
        </w:rPr>
      </w:r>
    </w:p>
    <w:p>
      <w:pPr>
        <w:ind w:firstLine="709"/>
        <w:jc w:val="both"/>
        <w:widowControl w:val="off"/>
        <w:rPr>
          <w:rFonts w:eastAsiaTheme="minorEastAsia"/>
          <w:highlight w:val="none"/>
        </w:rPr>
      </w:pPr>
      <w:r>
        <w:rPr>
          <w:rFonts w:eastAsiaTheme="minorEastAsia"/>
          <w:highlight w:val="none"/>
        </w:rPr>
        <w:t xml:space="preserve">Размеры тарифов на тепловую энергию, поставляемую потребителям Тайшетского городского поселения, формируются при соблюдении следующих параметров:</w:t>
      </w:r>
      <w:r>
        <w:rPr>
          <w:rFonts w:eastAsiaTheme="minorEastAsia"/>
          <w:highlight w:val="none"/>
        </w:rPr>
      </w:r>
      <w:r>
        <w:rPr>
          <w:rFonts w:eastAsiaTheme="minorEastAsia"/>
          <w:highlight w:val="none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EastAsia"/>
          <w:highlight w:val="none"/>
        </w:rPr>
      </w:pPr>
      <w:r>
        <w:rPr>
          <w:rFonts w:eastAsiaTheme="minorEastAsia"/>
          <w:highlight w:val="none"/>
        </w:rPr>
        <w:t xml:space="preserve">тариф на тепловую энергию ежегодно формируется и пересматривается;</w:t>
      </w:r>
      <w:r>
        <w:rPr>
          <w:rFonts w:eastAsiaTheme="minorEastAsia"/>
          <w:highlight w:val="none"/>
        </w:rPr>
      </w:r>
      <w:r>
        <w:rPr>
          <w:rFonts w:eastAsiaTheme="minorEastAsia"/>
          <w:highlight w:val="none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EastAsia"/>
        </w:rPr>
      </w:pPr>
      <w:r>
        <w:rPr>
          <w:rFonts w:eastAsiaTheme="minorEastAsia"/>
          <w:highlight w:val="none"/>
        </w:rPr>
        <w:t xml:space="preserve">в необходимую валовую выручку для расчета тарифа на тепловую э</w:t>
      </w:r>
      <w:r>
        <w:rPr>
          <w:rFonts w:eastAsiaTheme="minorEastAsia"/>
        </w:rPr>
        <w:t xml:space="preserve">нергию включаются экономически обоснованные эксплуатационные затраты;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EastAsia"/>
        </w:rPr>
      </w:pPr>
      <w:r>
        <w:rPr>
          <w:rFonts w:eastAsiaTheme="minorEastAsia"/>
        </w:rPr>
        <w:t xml:space="preserve">исходя из утвержденных финансовых потребностей реализации проектов настоящей Схемы теплоснабжения, в течение установленного срока возврата </w:t>
      </w:r>
      <w:r>
        <w:rPr>
          <w:rFonts w:eastAsiaTheme="minorEastAsia"/>
        </w:rPr>
        <w:t xml:space="preserve">инвестиций в тариф на тепловую энергию включается инвестиционная составляющая, складывающаяся из амортизации по объектам инвестирования и расходов на финансирование реализации проектов настоящей Схемы теплоснабжения из прибыли с учетом возникающих налогов;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EastAsia"/>
        </w:rPr>
      </w:pPr>
      <w:r>
        <w:rPr>
          <w:rFonts w:eastAsiaTheme="minorEastAsia"/>
        </w:rPr>
        <w:t xml:space="preserve">тарифный сценарий обеспечивает финансовые потребности планируемых проектов настоящей Схемы теплоснабжения и необходимость выполнения финансовых обязательств перед финансирующими организациями;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ind w:firstLine="709"/>
        <w:jc w:val="both"/>
        <w:widowControl w:val="off"/>
        <w:tabs>
          <w:tab w:val="left" w:pos="993" w:leader="none"/>
        </w:tabs>
        <w:rPr>
          <w:rFonts w:eastAsiaTheme="minorEastAsia"/>
        </w:rPr>
      </w:pPr>
      <w:r>
        <w:rPr>
          <w:rFonts w:eastAsiaTheme="minorEastAsia"/>
        </w:rPr>
        <w:t xml:space="preserve">для обеспечения доступности услуг потребителям вырабатываются меры сглаживания роста тарифов при инвестировании.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rPr>
          <w:rFonts w:eastAsiaTheme="minorEastAsia"/>
        </w:rPr>
      </w:pPr>
      <w:r>
        <w:rPr>
          <w:rFonts w:eastAsiaTheme="minorEastAsia"/>
        </w:rPr>
        <w:t xml:space="preserve">Размеры тарифов на тепловую энергию, поставляемую потребителям Тайшетского городского поселени</w:t>
      </w:r>
      <w:r>
        <w:rPr>
          <w:rFonts w:eastAsiaTheme="minorEastAsia"/>
        </w:rPr>
        <w:t xml:space="preserve">я, ежегодно пересматриваются или индексируются. Определяется долгосрочный период, в течение которого в тариф на тепловую энергию включается обоснованная инвестиционная составляющая, обеспечивающая финансовые потребности инвестиционной программы. При этом т</w:t>
      </w:r>
      <w:r>
        <w:rPr>
          <w:rFonts w:eastAsiaTheme="minorEastAsia"/>
        </w:rPr>
        <w:t xml:space="preserve">арифное регулирование становится более предсказуемым и обеспечивает финансирование производственной деятельности организаций коммунального комплекса по поставкам тепловой энергии и инвестиционной деятельности в рамках утвержденной инвестиционной программы.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widowControl w:val="off"/>
        <w:rPr>
          <w:rFonts w:eastAsiaTheme="minorEastAsia"/>
        </w:rPr>
      </w:pPr>
      <w:r>
        <w:rPr>
          <w:rFonts w:eastAsiaTheme="minorEastAsia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widowControl w:val="off"/>
        <w:rPr>
          <w:rFonts w:eastAsiaTheme="majorEastAsia"/>
          <w:bCs/>
          <w:caps/>
          <w:szCs w:val="26"/>
        </w:rPr>
      </w:pPr>
      <w:r>
        <w:rPr>
          <w:rFonts w:eastAsiaTheme="majorEastAsia"/>
          <w:bCs/>
          <w:caps/>
          <w:szCs w:val="26"/>
        </w:rPr>
        <w:t xml:space="preserve">ГЛАВА 15. РЕЕСТР ЕДИНЫХ ТЕПЛОСНАБЖАЮЩИХ ОРГАНИЗАЦИЙ</w:t>
      </w:r>
      <w:r>
        <w:rPr>
          <w:rFonts w:eastAsiaTheme="majorEastAsia"/>
          <w:bCs/>
          <w:caps/>
          <w:szCs w:val="26"/>
        </w:rPr>
      </w:r>
      <w:r>
        <w:rPr>
          <w:rFonts w:eastAsiaTheme="majorEastAsia"/>
          <w:bCs/>
          <w:caps/>
          <w:szCs w:val="26"/>
        </w:rPr>
      </w:r>
    </w:p>
    <w:p>
      <w:pPr>
        <w:ind w:firstLine="709"/>
        <w:jc w:val="both"/>
        <w:widowControl w:val="off"/>
        <w:rPr>
          <w:rFonts w:eastAsiaTheme="majorEastAsia"/>
          <w:bCs/>
        </w:rPr>
      </w:pPr>
      <w:r>
        <w:rPr>
          <w:rFonts w:eastAsiaTheme="majorEastAsia"/>
          <w:bCs/>
        </w:rPr>
        <w:t xml:space="preserve">15.1. Реестр систем теплоснабжения, содержащий перечень теплоснабжающих организаций, действующих в каждой системе теплоснабжения, расположенных в границах Тайшетского муниципального образования «Тайшетское городское поселение»</w:t>
      </w:r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Реестр систем теплоснабжения, содержащий перечень теплоснабжающих организаций, действующих в каждой системе теплоснабжения, расположенных в границах Тайшетского городского поселения, представлен в Таблице 58.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right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Таблица 58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Реестр систем теплоснабжения, содержащий перечень теплоснабжающих организаций, действующих в каждой системе теплоснабжения, расположенных в границах 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center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Тайшетского городского поселения</w:t>
      </w:r>
      <w:r>
        <w:rPr>
          <w:rFonts w:eastAsiaTheme="minorEastAsia"/>
        </w:rPr>
      </w:r>
      <w:r>
        <w:rPr>
          <w:rFonts w:eastAsiaTheme="minorEastAsia"/>
        </w:rPr>
      </w:r>
    </w:p>
    <w:tbl>
      <w:tblPr>
        <w:tblW w:w="9356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1985"/>
        <w:gridCol w:w="2268"/>
        <w:gridCol w:w="2693"/>
      </w:tblGrid>
      <w:tr>
        <w:tblPrEx/>
        <w:trPr/>
        <w:tc>
          <w:tcPr>
            <w:tcW w:w="2410" w:type="dxa"/>
            <w:vAlign w:val="center"/>
            <w:textDirection w:val="lrTb"/>
            <w:noWrap w:val="false"/>
          </w:tcPr>
          <w:p>
            <w:pPr>
              <w:ind w:right="-108"/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Наименование системы теплоснабжения муниципального образования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1985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Наименование теплоснабжающей организации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ОГРН, ИНН, КПП теплоснабжающей организации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269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Юридический адрес теплоснабжающей организации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</w:tr>
      <w:tr>
        <w:tblPrEx/>
        <w:trPr/>
        <w:tc>
          <w:tcPr>
            <w:tcW w:w="2410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</w:t>
            </w:r>
            <w:r>
              <w:rPr>
                <w:rFonts w:eastAsiaTheme="minorEastAsia"/>
                <w:sz w:val="22"/>
                <w:szCs w:val="22"/>
              </w:rPr>
              <w:t xml:space="preserve">№1 (ТКСИ)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985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ОП «ТТС»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АО «Байкалэнерго»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ОГРН 1043801024630, ИНН 3808108339, КПП 381201001.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69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664043, Иркутская область, город  Иркутск, бульвар Рябикова, 67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2410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</w:t>
            </w:r>
            <w:r>
              <w:rPr>
                <w:rFonts w:eastAsiaTheme="minorEastAsia"/>
                <w:sz w:val="22"/>
                <w:szCs w:val="22"/>
              </w:rPr>
              <w:t xml:space="preserve">№2 (ШПЗ)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98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ОП «ТТС»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ОГРН 1043801024630, ИНН 3808108339, КПП 381201001.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69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664043, Иркутская область, город  Иркутск, бульвар Рябикова, 67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2410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</w:t>
            </w:r>
            <w:r>
              <w:rPr>
                <w:rFonts w:eastAsiaTheme="minorEastAsia"/>
                <w:sz w:val="22"/>
                <w:szCs w:val="22"/>
              </w:rPr>
              <w:t xml:space="preserve"> № 3 (Мелькомбинат)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98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ОП «ТТС»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ОГРН 1043801024630, ИНН 3808108339, КПП 381201001.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69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664043, Иркутская область, город  Иркутск, бульвар Рябикова, 67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2410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</w:t>
            </w:r>
            <w:r>
              <w:rPr>
                <w:rFonts w:eastAsiaTheme="minorEastAsia"/>
                <w:sz w:val="22"/>
                <w:szCs w:val="22"/>
              </w:rPr>
              <w:t xml:space="preserve">(Экспедиция 5)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98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ОП «ТТС»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ОГРН 1043801024630, ИНН 3808108339, КПП 381201001.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69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664043, Иркутская область, город  Иркутск, бульвар Рябикова, 67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2410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Котельная </w:t>
            </w:r>
            <w:r>
              <w:rPr>
                <w:rFonts w:eastAsiaTheme="minorEastAsia"/>
                <w:sz w:val="22"/>
                <w:szCs w:val="22"/>
              </w:rPr>
              <w:t xml:space="preserve">(Совхоз)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98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ОП «ТТС»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АО «Байкалэнерго»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ОГРН 1043801024630, ИНН 3808108339, КПП 381201001.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69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664043, Иркутская область, город  Иркутск, бульвар Рябикова, 67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2410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Электрокотельная ДТВ ОАО «РЖД»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985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Тайшетский территориальный участок  Восточно-Сибирского ДТВ 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филиала ОАО «РЖД»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ОГРН 1037739877295, ИНН 7708503727, КПП 770801001.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69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665001, город Тайшет, улица Транспортная, 14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/>
        <w:tc>
          <w:tcPr>
            <w:tcW w:w="2410" w:type="dxa"/>
            <w:vAlign w:val="center"/>
            <w:textDirection w:val="lrTb"/>
            <w:noWrap w:val="false"/>
          </w:tcPr>
          <w:p>
            <w:pPr>
              <w:tabs>
                <w:tab w:val="left" w:pos="993" w:leader="none"/>
              </w:tabs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Электрокотельная ПС-500</w:t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  <w:r>
              <w:rPr>
                <w:rFonts w:eastAsiaTheme="minorHAnsi"/>
                <w:sz w:val="22"/>
                <w:szCs w:val="22"/>
                <w:lang w:eastAsia="en-US"/>
              </w:rPr>
            </w:r>
          </w:p>
        </w:tc>
        <w:tc>
          <w:tcPr>
            <w:tcW w:w="1985" w:type="dxa"/>
            <w:vAlign w:val="center"/>
            <w:textDirection w:val="lrTb"/>
            <w:noWrap w:val="false"/>
          </w:tcPr>
          <w:p>
            <w:pPr>
              <w:ind w:left="-108" w:right="-108"/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Филиал ОАО «ИЭСК» «Западные электрические сети»</w:t>
            </w:r>
            <w:r>
              <w:rPr>
                <w:rFonts w:eastAsiaTheme="minorEastAsia"/>
                <w:sz w:val="22"/>
                <w:szCs w:val="22"/>
              </w:rPr>
            </w:r>
            <w:r>
              <w:rPr>
                <w:rFonts w:eastAsiaTheme="minorEastAsia"/>
                <w:sz w:val="22"/>
                <w:szCs w:val="22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ind w:left="-108"/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ОГРН 1093850013762, ИНН 3812122706, КПП 381201001.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693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  <w:tab w:val="right" w:pos="9923" w:leader="dot"/>
              </w:tabs>
              <w:rPr>
                <w:rFonts w:eastAsiaTheme="minorEastAsia"/>
                <w:sz w:val="22"/>
                <w:szCs w:val="22"/>
                <w:shd w:val="clear" w:color="auto" w:fill="ffffff"/>
              </w:rPr>
            </w:pP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  <w:t xml:space="preserve">665002, город Тайшет, улица Энергетиков, 20,</w:t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  <w:r>
              <w:rPr>
                <w:rFonts w:eastAsiaTheme="minorEastAsia"/>
                <w:sz w:val="22"/>
                <w:szCs w:val="22"/>
                <w:shd w:val="clear" w:color="auto" w:fill="ffffff"/>
              </w:rPr>
            </w:r>
          </w:p>
        </w:tc>
      </w:tr>
    </w:tbl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41" w:name="_Toc149055671"/>
      <w:r>
        <w:rPr>
          <w:rFonts w:eastAsiaTheme="majorEastAsia"/>
          <w:bCs/>
        </w:rPr>
        <w:t xml:space="preserve">15.2. Реестр единых теплоснабжающих организаций, содержащий перечень систем теплоснабжения, входящих в состав единой теплоснабжающей организации</w:t>
      </w:r>
      <w:bookmarkEnd w:id="141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rPr>
          <w:rFonts w:eastAsiaTheme="minorEastAsia"/>
        </w:rPr>
      </w:pPr>
      <w:r>
        <w:rPr>
          <w:rFonts w:eastAsiaTheme="minorEastAsia"/>
        </w:rPr>
        <w:t xml:space="preserve">Реестр единых теплоснабжающих организаций, содержащий перечень систем теплоснабжения, входящих в состав единой теплоснабжающей организации приведен в таблице 58 пункт 15.1 главы 15 Обосновывающих материалов.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42" w:name="_Toc149055672"/>
      <w:r>
        <w:rPr>
          <w:rFonts w:eastAsiaTheme="majorEastAsia"/>
          <w:bCs/>
        </w:rPr>
        <w:t xml:space="preserve">15.3. Основания, в том числе критерии, в соответствии с которыми теплоснабжающей организации присвоен статус единой теплоснабжающей организации</w:t>
      </w:r>
      <w:bookmarkEnd w:id="142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rPr>
          <w:rFonts w:eastAsiaTheme="minorEastAsia"/>
        </w:rPr>
      </w:pPr>
      <w:r>
        <w:rPr>
          <w:rFonts w:eastAsiaTheme="minorEastAsia"/>
        </w:rPr>
        <w:t xml:space="preserve">В соответствии с Пос</w:t>
      </w:r>
      <w:r>
        <w:rPr>
          <w:rFonts w:eastAsiaTheme="minorEastAsia"/>
        </w:rPr>
        <w:t xml:space="preserve">тановлением Правительства РФ от 8 августа 2012 года № 808 «Об организации теплоснабжения в Российской Федерации и о внесении изменений в некоторые акты Правительства Российской Федерации», критериями определения единой теплоснабжающей организации являются: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EastAsia"/>
        </w:rPr>
      </w:pPr>
      <w:r>
        <w:rPr>
          <w:rFonts w:eastAsiaTheme="minorEastAsia"/>
        </w:rPr>
        <w:t xml:space="preserve">владение на праве собственности или ином законном основании источниками тепловой энергии с наибольшей рабочей тепловой мощностью и (или) тепловыми сетями с наибольшей емкостью в границах зоны деятельности единой теплоснабжающей организации;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EastAsia"/>
        </w:rPr>
      </w:pPr>
      <w:r>
        <w:rPr>
          <w:rFonts w:eastAsiaTheme="minorEastAsia"/>
        </w:rPr>
        <w:t xml:space="preserve">размер собственного капитала;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993" w:leader="none"/>
        </w:tabs>
        <w:rPr>
          <w:rFonts w:eastAsiaTheme="minorEastAsia"/>
        </w:rPr>
      </w:pPr>
      <w:r>
        <w:rPr>
          <w:rFonts w:eastAsiaTheme="minorEastAsia"/>
        </w:rPr>
        <w:t xml:space="preserve">способность в лучшей мере обеспечить надежность теплоснабжения в соответствующей системе теплоснабжения.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709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На дату разработки схемы теплоснабжения Тайшетского городского поселения функции единой теплоснабжающей организации выполняют: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709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1) в границах зон с №1 по №5 – ОП «ТТС» АО «Байкалэнерго»;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709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2) в границе зоны №6 – </w:t>
      </w:r>
      <w:r>
        <w:t xml:space="preserve">ДТВ ОАО «РЖД»</w:t>
      </w:r>
      <w:r>
        <w:rPr>
          <w:rFonts w:eastAsiaTheme="minorEastAsia"/>
          <w:shd w:val="clear" w:color="auto" w:fill="ffffff"/>
        </w:rPr>
        <w:t xml:space="preserve">;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709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3) в границе зоны №7 – филиал ОАО «ИЭСК» «Западные электрические сети».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709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ОП «ТТС» АО «Байкалэнерго», </w:t>
      </w:r>
      <w:r>
        <w:t xml:space="preserve">ДТВ ОАО «РЖД</w:t>
      </w:r>
      <w:r>
        <w:rPr>
          <w:rFonts w:eastAsiaTheme="minorEastAsia"/>
          <w:shd w:val="clear" w:color="auto" w:fill="ffffff"/>
        </w:rPr>
        <w:t xml:space="preserve">, филиал ОАО «ИЭСК» «Западные электрические сети» отвечают всем требованиям критериев по определению единой теплоснабжающей организации.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43" w:name="_Toc149055673"/>
      <w:r>
        <w:rPr>
          <w:rFonts w:eastAsiaTheme="majorEastAsia"/>
          <w:bCs/>
        </w:rPr>
        <w:t xml:space="preserve">15.4. Заявки теплоснабжающих организаций, поданные в рамках разработки проекта схемы теплоснабжения, на присвоение статуса единой теплоснабжающей организации</w:t>
      </w:r>
      <w:bookmarkEnd w:id="143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В рамках разработки настоящей Схемы теплоснабжения заявки теплоснабжающих организаций на присвоение статуса единой теплоснабжающей организации Тайшетского городского поселения не поступали.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44" w:name="_Toc149055674"/>
      <w:r>
        <w:rPr>
          <w:rFonts w:eastAsiaTheme="majorEastAsia"/>
          <w:bCs/>
        </w:rPr>
        <w:t xml:space="preserve">15.5. Описание границ зон деятельности единой теплоснабжающей организации</w:t>
      </w:r>
      <w:bookmarkEnd w:id="144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widowControl w:val="off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Зона №1 - котельная №1 (ТКСИ) является основным поставщиком тепловой энергии микрорайонов Новый, имени Пахотищева, имени Мясникова, </w:t>
      </w:r>
      <w:r>
        <w:rPr>
          <w:rFonts w:eastAsiaTheme="minorHAnsi"/>
          <w:lang w:eastAsia="en-US"/>
        </w:rPr>
        <w:t xml:space="preserve">село Старый Акульшет, микрорайон Солнечный, улицы Индустриальная и Архитекторов, а также </w:t>
      </w:r>
      <w:r>
        <w:rPr>
          <w:rFonts w:eastAsiaTheme="minorEastAsia"/>
          <w:shd w:val="clear" w:color="auto" w:fill="ffffff"/>
        </w:rPr>
        <w:t xml:space="preserve">части улиц в Северном районе.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Зона №2 - котельная №2 (ШПЗ) поставляет тепловую энергию потребителям, расположенным от ручья Крутенький в Центральном районе, жилой район 51 квартала в Северо-Западном районе города. С Южной стороны зона действия ограничена железной дорогой.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Зона №3 - котельная №3 (Мелькомбинат) осуществляет теплоснабжение южной части города в районе улиц Пушкина, Ленина, Воинов интернационалистов, Комсомольской, Свердлова.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Зона №4 - котельная №4 (Экспедиция №5) осуществляет теплоснабжение южной части города в районе улиц Тимирязева, 19-го Партсъезда, Советской.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Зона №5 - котельная №5 (Совхоз) снабжает теплом часть жилищного фонда в Северном районе города по улицам Капустина, Северной и Ключевой.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Зона №6 - электрокотельная ДТВ ОАО «РЖД» осуществляет теплоснабжение объектов ОАО «РЖД», многоквартирного дома №2 по улице Осипенко и четыре дома </w:t>
      </w:r>
      <w:r>
        <w:rPr>
          <w:rFonts w:eastAsiaTheme="minorEastAsia"/>
          <w:shd w:val="clear" w:color="auto" w:fill="ffffff"/>
        </w:rPr>
        <w:t xml:space="preserve">индивидуального жилищного сектора по улице Дарвина и улице Пугачева.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Зона №7 - электрокотельная ПС-500 осуществляет теплоснабжение объектов по улице Энергетиков.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ind w:firstLine="709"/>
        <w:jc w:val="both"/>
        <w:widowControl w:val="off"/>
        <w:tabs>
          <w:tab w:val="left" w:pos="0" w:leader="none"/>
          <w:tab w:val="left" w:pos="709" w:leader="none"/>
          <w:tab w:val="right" w:pos="9923" w:leader="dot"/>
        </w:tabs>
        <w:rPr>
          <w:rFonts w:eastAsiaTheme="minorEastAsia"/>
          <w:shd w:val="clear" w:color="auto" w:fill="ffffff"/>
        </w:rPr>
      </w:pPr>
      <w:r>
        <w:rPr>
          <w:rFonts w:eastAsiaTheme="minorEastAsia"/>
          <w:shd w:val="clear" w:color="auto" w:fill="ffffff"/>
        </w:rPr>
        <w:t xml:space="preserve">Карта с разбивкой на зоны границ деятельности котельных Тайшетского городского поселения представлена на рисунке 1 (рисунок не представлен) раздела 2.2 утверждаемых материалов.</w:t>
      </w:r>
      <w:r>
        <w:rPr>
          <w:rFonts w:eastAsiaTheme="minorEastAsia"/>
          <w:shd w:val="clear" w:color="auto" w:fill="ffffff"/>
        </w:rPr>
      </w:r>
      <w:r>
        <w:rPr>
          <w:rFonts w:eastAsiaTheme="minorEastAsia"/>
          <w:shd w:val="clear" w:color="auto" w:fill="ffffff"/>
        </w:rPr>
      </w:r>
    </w:p>
    <w:p>
      <w:pPr>
        <w:jc w:val="center"/>
        <w:widowControl w:val="off"/>
        <w:tabs>
          <w:tab w:val="left" w:pos="0" w:leader="none"/>
          <w:tab w:val="left" w:pos="709" w:leader="none"/>
          <w:tab w:val="right" w:pos="9923" w:leader="dot"/>
        </w:tabs>
        <w:rPr>
          <w:rFonts w:eastAsiaTheme="minorHAnsi"/>
          <w:bCs/>
          <w:szCs w:val="26"/>
          <w:lang w:eastAsia="en-US"/>
        </w:rPr>
      </w:pPr>
      <w:r>
        <w:rPr>
          <w:rFonts w:eastAsiaTheme="minorHAnsi"/>
          <w:bCs/>
          <w:szCs w:val="26"/>
          <w:lang w:eastAsia="en-US"/>
        </w:rPr>
      </w:r>
      <w:r>
        <w:rPr>
          <w:rFonts w:eastAsiaTheme="minorHAnsi"/>
          <w:bCs/>
          <w:szCs w:val="26"/>
          <w:lang w:eastAsia="en-US"/>
        </w:rPr>
      </w:r>
      <w:r>
        <w:rPr>
          <w:rFonts w:eastAsiaTheme="minorHAnsi"/>
          <w:bCs/>
          <w:szCs w:val="26"/>
          <w:lang w:eastAsia="en-US"/>
        </w:rPr>
      </w:r>
    </w:p>
    <w:p>
      <w:pPr>
        <w:contextualSpacing/>
        <w:jc w:val="center"/>
        <w:keepLines/>
        <w:keepNext/>
        <w:widowControl w:val="off"/>
        <w:rPr>
          <w:rFonts w:eastAsiaTheme="minorHAnsi"/>
          <w:bCs/>
          <w:szCs w:val="26"/>
          <w:lang w:eastAsia="en-US"/>
        </w:rPr>
      </w:pPr>
      <w:r/>
      <w:bookmarkStart w:id="145" w:name="_Toc149055675"/>
      <w:r>
        <w:rPr>
          <w:rFonts w:eastAsiaTheme="minorHAnsi"/>
          <w:bCs/>
          <w:szCs w:val="26"/>
          <w:lang w:eastAsia="en-US"/>
        </w:rPr>
      </w:r>
      <w:r>
        <w:rPr>
          <w:rFonts w:eastAsiaTheme="minorHAnsi"/>
          <w:bCs/>
          <w:szCs w:val="26"/>
          <w:lang w:eastAsia="en-US"/>
        </w:rPr>
      </w:r>
    </w:p>
    <w:p>
      <w:pPr>
        <w:contextualSpacing/>
        <w:jc w:val="center"/>
        <w:keepLines/>
        <w:keepNext/>
        <w:widowControl w:val="off"/>
        <w:rPr>
          <w:rFonts w:eastAsiaTheme="minorHAnsi"/>
          <w:bCs/>
          <w:szCs w:val="26"/>
          <w:lang w:eastAsia="en-US"/>
        </w:rPr>
      </w:pPr>
      <w:r>
        <w:rPr>
          <w:rFonts w:eastAsiaTheme="minorHAnsi"/>
          <w:bCs/>
          <w:szCs w:val="26"/>
          <w:lang w:eastAsia="en-US"/>
        </w:rPr>
        <w:t xml:space="preserve">ГЛАВА 16. РЕЕСТР МЕРОПРИЯТИЙ СХЕМЫ ТЕПЛОСНАБЖЕНИЯ</w:t>
      </w:r>
      <w:r>
        <w:rPr>
          <w:rFonts w:eastAsiaTheme="minorHAnsi"/>
          <w:bCs/>
          <w:szCs w:val="26"/>
          <w:lang w:eastAsia="en-US"/>
        </w:rPr>
      </w:r>
      <w:r>
        <w:rPr>
          <w:rFonts w:eastAsiaTheme="minorHAnsi"/>
          <w:bCs/>
          <w:szCs w:val="26"/>
          <w:lang w:eastAsia="en-US"/>
        </w:rPr>
      </w:r>
    </w:p>
    <w:p>
      <w:pPr>
        <w:contextualSpacing/>
        <w:ind w:firstLine="709"/>
        <w:jc w:val="both"/>
        <w:keepLines/>
        <w:keepNext/>
        <w:widowControl w:val="off"/>
        <w:rPr>
          <w:rFonts w:eastAsiaTheme="majorEastAsia"/>
          <w:bCs/>
        </w:rPr>
      </w:pPr>
      <w:r/>
      <w:bookmarkStart w:id="146" w:name="_Toc149055676"/>
      <w:r>
        <w:rPr>
          <w:rFonts w:eastAsiaTheme="majorEastAsia"/>
          <w:bCs/>
        </w:rPr>
        <w:t xml:space="preserve">16.1. Перечень мероприятий по строительству, реконструкции, техническому перевооружению и модернизации источников тепловой энергии</w:t>
      </w:r>
      <w:bookmarkEnd w:id="146"/>
      <w:r>
        <w:rPr>
          <w:rFonts w:eastAsiaTheme="majorEastAsia"/>
          <w:bCs/>
        </w:rPr>
      </w:r>
      <w:r>
        <w:rPr>
          <w:rFonts w:eastAsiaTheme="majorEastAsia"/>
          <w:bCs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Перечень мероприятий </w:t>
      </w:r>
      <w:r>
        <w:rPr>
          <w:rFonts w:eastAsiaTheme="majorEastAsia"/>
          <w:bCs/>
        </w:rPr>
        <w:t xml:space="preserve">по строительству, реконструкции, техническому перевооружению и модернизации</w:t>
      </w:r>
      <w:r>
        <w:rPr>
          <w:rFonts w:eastAsiaTheme="minorEastAsia"/>
        </w:rPr>
        <w:t xml:space="preserve"> котельных Тайшетского городского поселения представлен в Таблице 59.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Перечень мероприятий </w:t>
      </w:r>
      <w:r>
        <w:rPr>
          <w:rFonts w:eastAsiaTheme="majorEastAsia"/>
          <w:bCs/>
        </w:rPr>
        <w:t xml:space="preserve">по строительству, реконструкции, техническому перевооружению и модернизации</w:t>
      </w:r>
      <w:r>
        <w:rPr>
          <w:rFonts w:eastAsiaTheme="minorEastAsia"/>
        </w:rPr>
        <w:t xml:space="preserve"> котельных муниципального образования «Тайшетский район», расположенных на территории Тайшетского городского поселения, представлен в Таблице 60.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Источниками финансирования мероприятий </w:t>
      </w:r>
      <w:r>
        <w:rPr>
          <w:rFonts w:eastAsiaTheme="majorEastAsia"/>
          <w:bCs/>
        </w:rPr>
        <w:t xml:space="preserve">по строительству, реконструкции, техническому перевооружению и модернизации</w:t>
      </w:r>
      <w:r>
        <w:rPr>
          <w:rFonts w:eastAsiaTheme="minorEastAsia"/>
        </w:rPr>
        <w:t xml:space="preserve"> котельных Тайшетского городского поселения являются финансовые средства ресурсоснабжающей организации в рамках инвестиционной программы и заключенного концессионного соглашения.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contextualSpacing/>
        <w:jc w:val="center"/>
        <w:keepLines/>
        <w:keepNext/>
        <w:widowControl w:val="off"/>
        <w:rPr>
          <w:rFonts w:eastAsiaTheme="minorHAnsi"/>
          <w:bCs/>
          <w:szCs w:val="26"/>
          <w:lang w:eastAsia="en-US"/>
        </w:rPr>
      </w:pPr>
      <w:r>
        <w:rPr>
          <w:rFonts w:eastAsiaTheme="minorHAnsi"/>
          <w:bCs/>
          <w:szCs w:val="26"/>
          <w:lang w:eastAsia="en-US"/>
        </w:rPr>
      </w:r>
      <w:r>
        <w:rPr>
          <w:rFonts w:eastAsiaTheme="minorHAnsi"/>
          <w:bCs/>
          <w:szCs w:val="26"/>
          <w:lang w:eastAsia="en-US"/>
        </w:rPr>
      </w:r>
      <w:r>
        <w:rPr>
          <w:rFonts w:eastAsiaTheme="minorHAnsi"/>
          <w:bCs/>
          <w:szCs w:val="26"/>
          <w:lang w:eastAsia="en-US"/>
        </w:rPr>
      </w:r>
    </w:p>
    <w:p>
      <w:pPr>
        <w:contextualSpacing/>
        <w:jc w:val="center"/>
        <w:keepLines/>
        <w:keepNext/>
        <w:widowControl w:val="off"/>
        <w:rPr>
          <w:rFonts w:eastAsiaTheme="minorHAnsi"/>
          <w:bCs/>
          <w:szCs w:val="26"/>
          <w:lang w:eastAsia="en-US"/>
        </w:rPr>
      </w:pPr>
      <w:r>
        <w:rPr>
          <w:rFonts w:eastAsiaTheme="minorHAnsi"/>
          <w:bCs/>
          <w:szCs w:val="26"/>
          <w:lang w:eastAsia="en-US"/>
        </w:rPr>
      </w:r>
      <w:bookmarkEnd w:id="145"/>
      <w:r>
        <w:rPr>
          <w:rFonts w:eastAsiaTheme="minorHAnsi"/>
          <w:bCs/>
          <w:szCs w:val="26"/>
          <w:lang w:eastAsia="en-US"/>
        </w:rPr>
      </w:r>
      <w:r>
        <w:rPr>
          <w:rFonts w:eastAsiaTheme="minorHAnsi"/>
          <w:bCs/>
          <w:szCs w:val="26"/>
          <w:lang w:eastAsia="en-US"/>
        </w:rPr>
      </w:r>
    </w:p>
    <w:p>
      <w:pPr>
        <w:contextualSpacing/>
        <w:jc w:val="center"/>
        <w:keepLines/>
        <w:keepNext/>
        <w:widowControl w:val="off"/>
        <w:rPr>
          <w:rFonts w:eastAsiaTheme="minorHAnsi"/>
          <w:bCs/>
          <w:szCs w:val="26"/>
          <w:lang w:eastAsia="en-US"/>
        </w:rPr>
      </w:pPr>
      <w:r>
        <w:rPr>
          <w:rFonts w:eastAsiaTheme="minorHAnsi"/>
          <w:bCs/>
          <w:szCs w:val="26"/>
          <w:lang w:eastAsia="en-US"/>
        </w:rPr>
      </w:r>
      <w:r>
        <w:rPr>
          <w:rFonts w:eastAsiaTheme="minorHAnsi"/>
          <w:bCs/>
          <w:szCs w:val="26"/>
          <w:lang w:eastAsia="en-US"/>
        </w:rPr>
      </w:r>
      <w:r>
        <w:rPr>
          <w:rFonts w:eastAsiaTheme="minorHAnsi"/>
          <w:bCs/>
          <w:szCs w:val="26"/>
          <w:lang w:eastAsia="en-US"/>
        </w:rPr>
      </w:r>
    </w:p>
    <w:p>
      <w:pPr>
        <w:ind w:firstLine="454"/>
        <w:jc w:val="both"/>
        <w:sectPr>
          <w:footnotePr/>
          <w:endnotePr/>
          <w:type w:val="nextPage"/>
          <w:pgSz w:w="11906" w:h="16838" w:orient="portrait"/>
          <w:pgMar w:top="851" w:right="851" w:bottom="851" w:left="1701" w:header="340" w:footer="0" w:gutter="0"/>
          <w:cols w:num="1" w:sep="0" w:space="708" w:equalWidth="1"/>
          <w:docGrid w:linePitch="360"/>
          <w:titlePg/>
        </w:sectPr>
      </w:pPr>
      <w:r/>
      <w:r/>
    </w:p>
    <w:p>
      <w:pPr>
        <w:ind w:firstLine="709"/>
        <w:jc w:val="right"/>
        <w:rPr>
          <w:color w:val="auto"/>
        </w:rPr>
      </w:pPr>
      <w:r>
        <w:rPr>
          <w:color w:val="auto"/>
        </w:rPr>
        <w:t xml:space="preserve">Таблица 59</w:t>
      </w:r>
      <w:r>
        <w:rPr>
          <w:color w:val="auto"/>
        </w:rPr>
      </w:r>
      <w:r>
        <w:rPr>
          <w:color w:val="auto"/>
        </w:rPr>
      </w:r>
    </w:p>
    <w:p>
      <w:pPr>
        <w:jc w:val="center"/>
        <w:rPr>
          <w:color w:val="auto"/>
        </w:rPr>
      </w:pPr>
      <w:r>
        <w:rPr>
          <w:color w:val="auto"/>
        </w:rPr>
        <w:t xml:space="preserve">Перечень мероприятий по строительству, реконструкции, техническому перевооружению и (или) модернизации </w:t>
      </w:r>
      <w:r>
        <w:rPr>
          <w:color w:val="auto"/>
        </w:rPr>
      </w:r>
      <w:r>
        <w:rPr>
          <w:color w:val="auto"/>
        </w:rPr>
      </w:r>
    </w:p>
    <w:p>
      <w:pPr>
        <w:jc w:val="center"/>
        <w:rPr>
          <w:rFonts w:eastAsiaTheme="minorEastAsia"/>
          <w:color w:val="auto"/>
        </w:rPr>
      </w:pPr>
      <w:r>
        <w:rPr>
          <w:color w:val="auto"/>
        </w:rPr>
        <w:t xml:space="preserve">источников тепловой энергии  </w:t>
      </w:r>
      <w:r>
        <w:rPr>
          <w:rFonts w:eastAsiaTheme="minorEastAsia"/>
          <w:color w:val="auto"/>
        </w:rPr>
        <w:t xml:space="preserve">Тайшетского городского поселения</w:t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tbl>
      <w:tblPr>
        <w:tblW w:w="15689" w:type="dxa"/>
        <w:tblInd w:w="113" w:type="dxa"/>
        <w:tblLook w:val="04A0" w:firstRow="1" w:lastRow="0" w:firstColumn="1" w:lastColumn="0" w:noHBand="0" w:noVBand="1"/>
      </w:tblPr>
      <w:tblGrid>
        <w:gridCol w:w="1877"/>
        <w:gridCol w:w="4412"/>
        <w:gridCol w:w="18"/>
        <w:gridCol w:w="968"/>
        <w:gridCol w:w="18"/>
        <w:gridCol w:w="753"/>
        <w:gridCol w:w="18"/>
        <w:gridCol w:w="760"/>
        <w:gridCol w:w="7"/>
        <w:gridCol w:w="12"/>
        <w:gridCol w:w="759"/>
        <w:gridCol w:w="19"/>
        <w:gridCol w:w="759"/>
        <w:gridCol w:w="19"/>
        <w:gridCol w:w="912"/>
        <w:gridCol w:w="19"/>
        <w:gridCol w:w="867"/>
        <w:gridCol w:w="19"/>
        <w:gridCol w:w="864"/>
        <w:gridCol w:w="7"/>
        <w:gridCol w:w="12"/>
        <w:gridCol w:w="967"/>
        <w:gridCol w:w="19"/>
        <w:gridCol w:w="857"/>
        <w:gridCol w:w="19"/>
        <w:gridCol w:w="715"/>
        <w:gridCol w:w="7"/>
        <w:gridCol w:w="6"/>
      </w:tblGrid>
      <w:tr>
        <w:tblPrEx/>
        <w:trPr>
          <w:gridAfter w:val="1"/>
          <w:trHeight w:val="21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№ п/п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Наименование мероприятия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5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9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Планируемая потребность в финансовых средствах, тысяч рублей без учета НДС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315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98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Итого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5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Базовый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11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425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Первый 5-летний период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7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259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Последующие 5-летние периоды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81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98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  <w:r>
              <w:rPr>
                <w:color w:val="ff0000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2030-2034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2035-2039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2040-2041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15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Котельные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15"/>
        </w:trPr>
        <w:tc>
          <w:tcPr>
            <w:gridSpan w:val="3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307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1. Котельная № 1 (ТКСИ)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898662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5887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9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12937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54663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25839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95256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134666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112908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330090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126417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2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электрооборудования котельной: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80229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2141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33532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44555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оборудования подстанции ТП-15-2/1600 (06379) 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80229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33532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44555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контрольно-измерительных приборов и автоматики котлов 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02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Дооборудование котельной 1-ой очереди автоматическими системами, обеспечивающими пожарную безопасность в соответствии с действующими нормами и правилами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12620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12620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ОПО. Котельная №1 первой очереди (12). Техническое перевооружение агрегата КЕ25-14 ст.№2 со вспомогательным оборудованием на котельной №1 (ТКСИ) (инвентарный №1000062)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77184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14155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15573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47456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ОПО. Котельная №1 первой очереди (12). Модернизация группы сетевых подогревателей с установкой подогревателей типа ПСВ-90-7-15 количестве 2 штук.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25150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1688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8569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14893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системы очистки сточных вод котельной 1-ой очереди с возможностью распространения основных технических решений на прочие теплоисточники ОП «ТТС» АО «Байкалэнерго»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114349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10266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12227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насоса ЦН 400/105 ст.№ 26 с установкой ЧРП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4941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922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4019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котельного агрегата КЕ-25-14 станционный № 3 для восстановления располагаемой мощности котельной № 1 и обеспечения перспективных нагрузок.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126417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126417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ОПО. Котельная №1 первой очереди (12). Модернизация прямого и обратного коллекторов группы сетевых насосов котельной №1 с целью увеличения пропускной способности для обеспечения перспективных нагрузок.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25758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1365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1875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22518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автотракторного бокса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35659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5659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железнодорожного пути необщего пользования, расположенного по адресу город Тайшет, улица Индустриальная, 3/9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оборудования здания дробильного отделения с 3-мя узлами пересыпки город Тайшет, улица Индустриальная, 3/2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здания дробильного отделения с 3-мя узлами пересыпки город Тайшет, улица Индустриальная, 3/2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здания гаража (пристрой к АБК)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30978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30978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"Реконструкция системы видеонаблюдения территории котельной 1-й очереди г. Тайшет, ул. Индустриальная, 3/1 (инв.№ 100004)""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1226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974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05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резервуара металлического (Бак аккумуляторный У-700), Котельной №1 (ТКСИ) (инв.№ 10027- Бак аккумуляторный У-700 м3)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44301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2123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42178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"Модернизация наружного освещения периметра котельной 1-й очереди г. Тайшет, ул. Индустриальная, 3/1 ОП "ТТС" АО "Байкалэнерго (инв.№ 100004)""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2601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2422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оборудования химлаборатории котельной 1-ой очереди (инв.№ 100004). Шкаф вытяжной ЛК-1200 ШВП.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560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560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конденсатных баков котельной 1-ой очереди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11410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2974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8436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деаэратора сетевого контура ДА-200 котельной 1-ой очереди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8396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8396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деаэратора котлового контура ДА-100 котельной 1-ой очереди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8396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8396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склада топлива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фильтров ХВО котлового контура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8430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981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3995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оборудования скалада реагентов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15"/>
        </w:trPr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89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2. Котельная № 2 (ШПЗ)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642975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4881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9910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32883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39012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110947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89204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114115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191787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50236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283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 котельная №2. Техническое перевооружение котельного агрегата КЕ 10-14С станционный №1 (ШПЗ) с приобретением и монтажом вспомогательного оборудования и шита </w:t>
            </w:r>
            <w:r>
              <w:rPr>
                <w:color w:val="auto"/>
                <w:sz w:val="22"/>
                <w:szCs w:val="22"/>
              </w:rPr>
              <w:t xml:space="preserve">управления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47002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3350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14906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28746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9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КИПиА. Создание щитов управления котлов паровых КЕ-10 14С станционный №2, ДКВр-20/13 станционный №3, станционный №4, станционный №5 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31255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31255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группы сетевых подогревателей. Замена подогревателей сетевой воды ПСВ 200-7-15 станционный № 7, ПСВ-90-7-15 станционный №9.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11509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3742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7767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золоуловителей МП-3100 к/а КЕ 10/14  станционный №2.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4331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вспомогательного оборудования котельных агрегатов ДКВр 20/13 станционный № 3, 4, 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14100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охладителей выпара ОВА 16 (станционный №1, станционный № 2)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аспирационной установки топливоподачи станционный № 3 тракта углеподачи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2700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2700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тракта углеподачи (ограждающих конструктивных элементов и дренажной системы)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705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оборудования химводоподготовки. Замена фильтров ФИПа станционный №1, станционный №2, станционный №3, станционный №4.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11163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11163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15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питательных насосов котельной № 2. Замена питательных насосов (ЦНСг 60/231 станционный №1 - 1 шт., ЦНСГ-105-196 - 2 шт.) на современные энергоэффективные аналоги с применением ЧРП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резервуара металлического (стального бака-аккумулятора 2000м3 ст.№1)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44913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2735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42178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5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</w:t>
            </w:r>
            <w:r>
              <w:rPr>
                <w:color w:val="auto"/>
                <w:sz w:val="22"/>
                <w:szCs w:val="22"/>
              </w:rPr>
              <w:t xml:space="preserve">ция кровли котельной №2 ОП «ТТС» АО «Байкалэнерго» (котельная с четырьмя двухэтажными и тремя одноэтажными пристроями, с пристроем золоудаления и здания углеподачи, инв. № 91, расположенная по адресу: Иркутская обл., г. Тайшет, ул. Гагарина, 114»)»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5763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4881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системы пожаротушения галереи тракта углеподачи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Модерниазция здания котельной с устройством блочного санитарно-бытового помещения.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 "Котельная № 2" III класса опасности рег. № А67-01914-0014. Модернизация трубопровода пара от к/а №1, 2 (инв. №240/1) и трубопровода пара от к/а №3, 4, 5 (инв. №232/1) котельной №2 (ШПЗ). Устройство редукционной установки.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26549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19613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системы очистки сточных вод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112493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10266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12227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емкостей подпиточных горизонтальных ст.№ 1, ст.№ 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11717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8436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здания котельной и тракта топливоподачи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 котельная №2. Техническое перевооружение котельного агрегата ДКВр-20-13 станционный № 3 (ШПЗ) с приобретением и монтажом вспомогательного оборудования и шита </w:t>
            </w:r>
            <w:r>
              <w:rPr>
                <w:color w:val="auto"/>
                <w:sz w:val="22"/>
                <w:szCs w:val="22"/>
              </w:rPr>
              <w:t xml:space="preserve">управления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105248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4435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39708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61106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ОПО котельная №2. Техническое перевооружение котельного агрегата ДКВр-20-13 станционный № 4 (ШПЗ) с приобретением и монтажом вспомогательного оборудования и шита управления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105248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4435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39708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61106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45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2.21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Реконструкция и модернизация электрооборудования котельной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50847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7475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25788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17584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2.21.1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и модернизация электрооборудования котельной № 2 (ШПЗ) . Модернизация сооружения - воздушной линии электроснабжения котельной котельной № 2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1579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2157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2.21.2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и модернизация электрооборудования котельной № 2 (ШПЗ). Модернизация ячеек КСО-298 (9 штук) и КСО-272 (2 ячейки).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16960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1532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15428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2.21.3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и модернизация электрооборудования котельной № 2 (ШПЗ). Модернизация трансформаторных подстанций ТП-1 и ТП-2.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26854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2249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24605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2.21.4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и модернизация электрооборудования котельной № 2 (ШПЗ). Модернизация распределительного устройства РУ 0,4 кВ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15"/>
        </w:trPr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89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3. Котельная № 3 (Мелькомбинат)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99674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2402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3643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476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18356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22383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32914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15500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Дооборудование котельной №3 автоматическими системами, обеспечивающими пожарную безопасность в соответствии с действующими нормами и </w:t>
            </w:r>
            <w:r>
              <w:rPr>
                <w:color w:val="auto"/>
                <w:sz w:val="22"/>
                <w:szCs w:val="22"/>
              </w:rPr>
              <w:t xml:space="preserve">правилами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системы очистки сточных вод котельной № 3 ОП "ТТС"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44398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1484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18914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«Техническое перевооружение ОПО котельная №3 «Мелькомбинат». Модернизация главного паропровода от котлоагрегатов (от теплообменников). Устройство редукционной установки. (инвентарный № 40118/1)»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5037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918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3643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476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подпиточной емкости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7897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емкости сырой воды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5841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насосного оборудования (питательные, сетевые насосы)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фильтров ХВО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вспомогательного оборудования котельных агрегатов ДКВр 6,5/13 станционный № 1, № 2.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15"/>
        </w:trPr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89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4. Котельная № 4 (Экспедиции № 5)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18058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447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2608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2191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6030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1381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насосного оборудования сетевой группы котельной № 4 (замена физически изношенных и морально устаревших насосных агрегатов Д250/50)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821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1381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котельной №4 (Экспедиция №5). Приобретение и монтаж котельного агрегата КВМ-1,25 взамен отработавшего нормативный срок КВМ-1,25. (инвентарный №10028Т)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1805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1805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"Модернизация газоходов котельной №4. Устройство газоочистного оборудования." (с ПИР) (инв. №б/н)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1651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803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емкости сырой воды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5588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1370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4218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вспомогательного оборудования котельных агрегатов станционный № 1, № 2.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2"/>
        </w:trPr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89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5. Котельная № 5 (Совхоз)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41114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1443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38290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1381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основного и вспомогательного оборудования котельной № 5. Приобретение и монтаж автоматической угольной блочно-модульной котельной.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30043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30043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сетевых насосов. Замена физически изношенных насосов сетевых КМ-100-65-200 - станционный №1, станционный № 2 котельной № 5 на современные аналоги с частотно-регулируемым приводом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4014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821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1813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1381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котельной №5. Приобретение и монтаж котельного агрегата  взамен отработавшего нормативный срок КВм-1,25 (со вспомогательным оборудованием)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5030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5030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Модернизация газоходов котельной №5. Устройство газоочистного оборудования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622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1404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48"/>
        </w:trPr>
        <w:tc>
          <w:tcPr>
            <w:gridSpan w:val="2"/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89" w:type="dxa"/>
            <w:vAlign w:val="center"/>
            <w:textDirection w:val="lrTb"/>
            <w:noWrap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6. Прочие мероприятия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4588516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6453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13444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36031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176330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333970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4022289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Площадка размещения золошлаковых отходов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50000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и монтаж блочно-модульного санитарно-бытового помещения для участка тепловых сетей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спецтехники с целью обеспечения надежности теплоснабжения Бульдозер SHANTUI SD-16 (или аналог)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13444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13444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спецтехники с целью обеспечения надежности теплоснабжения. Приобретение машины Камаз для транспортирования ЗШО до площадки </w:t>
            </w:r>
            <w:r>
              <w:rPr>
                <w:color w:val="auto"/>
                <w:sz w:val="22"/>
                <w:szCs w:val="22"/>
              </w:rPr>
              <w:t xml:space="preserve">временного накопления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6453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6453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283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спецтехники с целью обеспечения надежности теплоснабжения. Приобретение кран-манипуляторной установки на базе КАМАЗ (или аналог)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16031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16030,8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спецтехники с целью обеспечения надежности теплоснабжения Фронтальный погрузчик XCMG LW300FN (или аналог)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6697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6697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Приобретение спецтехники с целью обеспечения надежности теплоснабжения Самосвал (или аналог)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13970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13970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6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«Блочно-модульная котельная на твердом топливе, теплопроизводительностью 12 Гкал/ч до 20 Гкал/ч в село Старый Акульшет Тайшетского </w:t>
            </w:r>
            <w:r>
              <w:rPr>
                <w:color w:val="auto"/>
                <w:sz w:val="22"/>
                <w:szCs w:val="22"/>
              </w:rPr>
              <w:t xml:space="preserve">района» новое строительство с целью обеспечения резервного теплоснабжения микрорайона Центральный город Тайшет, а также обеспечение технической возможности технологического присоединения вновь строящихся объектов к тепловым сетям ОП «ТТС» АО «Байкалэнерго»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499633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49633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котельной мощностью 56 Гкал/ч взамен отработавшей нормативный срок котельной № 2 (ШПЗ)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2051704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1921704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6.10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блока водогрейных котлов мощностью 50 Гкал/ч с целью обеспечения с целью обеспечения перспективных нагрузок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1925585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1795585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2"/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77" w:type="dxa"/>
            <w:vAlign w:val="center"/>
            <w:textDirection w:val="lrTb"/>
            <w:noWrap w:val="false"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 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412" w:type="dxa"/>
            <w:vAlign w:val="center"/>
            <w:textDirection w:val="lrTb"/>
            <w:noWrap w:val="false"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Всего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6288999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13617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35551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88423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82295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31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245867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462875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586137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8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4582080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192153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</w:tbl>
    <w:p>
      <w:pPr>
        <w:jc w:val="center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jc w:val="center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spacing w:after="200" w:line="276" w:lineRule="auto"/>
        <w:rPr>
          <w:rFonts w:eastAsia="Calibri"/>
          <w:color w:val="auto"/>
          <w:szCs w:val="22"/>
        </w:rPr>
        <w:sectPr>
          <w:footnotePr/>
          <w:endnotePr/>
          <w:type w:val="nextPage"/>
          <w:pgSz w:w="16838" w:h="11906" w:orient="landscape"/>
          <w:pgMar w:top="1701" w:right="851" w:bottom="851" w:left="851" w:header="340" w:footer="0" w:gutter="0"/>
          <w:cols w:num="1" w:sep="0" w:space="708" w:equalWidth="1"/>
          <w:docGrid w:linePitch="360"/>
          <w:titlePg/>
        </w:sectPr>
      </w:pPr>
      <w:r>
        <w:rPr>
          <w:rFonts w:eastAsia="Calibri"/>
          <w:color w:val="auto"/>
          <w:szCs w:val="22"/>
        </w:rPr>
      </w:r>
      <w:r>
        <w:rPr>
          <w:rFonts w:eastAsia="Calibri"/>
          <w:color w:val="auto"/>
          <w:szCs w:val="22"/>
        </w:rPr>
      </w:r>
      <w:r>
        <w:rPr>
          <w:rFonts w:eastAsia="Calibri"/>
          <w:color w:val="auto"/>
          <w:szCs w:val="22"/>
        </w:rPr>
      </w:r>
    </w:p>
    <w:p>
      <w:pPr>
        <w:jc w:val="right"/>
        <w:tabs>
          <w:tab w:val="left" w:pos="0" w:leader="none"/>
          <w:tab w:val="left" w:pos="567" w:leader="none"/>
          <w:tab w:val="right" w:pos="9923" w:leader="dot"/>
        </w:tabs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  <w:t xml:space="preserve">Таблица 60</w:t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EastAsia"/>
          <w:color w:val="auto"/>
        </w:rPr>
        <w:t xml:space="preserve">Перечень мероприятий </w:t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p>
      <w:pPr>
        <w:jc w:val="center"/>
        <w:tabs>
          <w:tab w:val="left" w:pos="0" w:leader="none"/>
          <w:tab w:val="left" w:pos="567" w:leader="none"/>
          <w:tab w:val="right" w:pos="9923" w:leader="dot"/>
        </w:tabs>
        <w:rPr>
          <w:color w:val="auto"/>
          <w:shd w:val="clear" w:color="auto" w:fill="ffffff"/>
        </w:rPr>
      </w:pPr>
      <w:r>
        <w:rPr>
          <w:rFonts w:eastAsiaTheme="majorEastAsia"/>
          <w:bCs/>
          <w:color w:val="auto"/>
        </w:rPr>
        <w:t xml:space="preserve">по строительству, реконструкции, техническому перевооружению и модернизации</w:t>
      </w:r>
      <w:r>
        <w:rPr>
          <w:color w:val="auto"/>
          <w:shd w:val="clear" w:color="auto" w:fill="ffffff"/>
        </w:rPr>
        <w:t xml:space="preserve"> модульных источников тепловой энергии</w:t>
      </w:r>
      <w:r>
        <w:rPr>
          <w:color w:val="auto"/>
        </w:rPr>
        <w:t xml:space="preserve"> муниципального образования «Тайшетский район», расположенных на территории Тайшетского городского поселения</w:t>
      </w:r>
      <w:r>
        <w:rPr>
          <w:color w:val="auto"/>
          <w:shd w:val="clear" w:color="auto" w:fill="ffffff"/>
        </w:rPr>
        <w:t xml:space="preserve">.</w:t>
      </w:r>
      <w:r>
        <w:rPr>
          <w:color w:val="auto"/>
          <w:shd w:val="clear" w:color="auto" w:fill="ffffff"/>
        </w:rPr>
      </w:r>
      <w:r>
        <w:rPr>
          <w:color w:val="auto"/>
          <w:shd w:val="clear" w:color="auto" w:fill="ffffff"/>
        </w:rPr>
      </w:r>
    </w:p>
    <w:tbl>
      <w:tblPr>
        <w:tblW w:w="5033" w:type="pct"/>
        <w:tblLayout w:type="fixed"/>
        <w:tblCellMar>
          <w:left w:w="74" w:type="dxa"/>
          <w:top w:w="2" w:type="dxa"/>
          <w:right w:w="82" w:type="dxa"/>
        </w:tblCellMar>
        <w:tblLook w:val="04A0" w:firstRow="1" w:lastRow="0" w:firstColumn="1" w:lastColumn="0" w:noHBand="0" w:noVBand="1"/>
      </w:tblPr>
      <w:tblGrid>
        <w:gridCol w:w="459"/>
        <w:gridCol w:w="1317"/>
        <w:gridCol w:w="5529"/>
        <w:gridCol w:w="708"/>
        <w:gridCol w:w="1560"/>
      </w:tblGrid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3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№ п/п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688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2275" w:leader="none"/>
              </w:tabs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Объект теплоснабжения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8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Описание и основные характеристики мероприятия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Срок реализации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1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Объем инвестиций, рублей (с учетом НДС)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3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1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688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2275" w:leader="none"/>
              </w:tabs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Котельная № 11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8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Приобретение, монтаж двух энергосберегающих сетевых насосов; монтаж теплообменного оборудования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2023 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1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574175,0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843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3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2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688" w:type="pct"/>
            <w:vAlign w:val="center"/>
            <w:textDirection w:val="lrTb"/>
            <w:noWrap w:val="false"/>
          </w:tcPr>
          <w:p>
            <w:pPr>
              <w:jc w:val="center"/>
              <w:tabs>
                <w:tab w:val="right" w:pos="2275" w:leader="none"/>
              </w:tabs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Котельная</w:t>
            </w: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ab/>
              <w:t xml:space="preserve">МБУДО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«ЦДО «Радуга»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8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Приобретение и монтаж энергосберегающего сетевого насоса; монтаж теплообменного оборудования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2030 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1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361938,0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3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3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6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Котельная № 31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8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Приобретение и монтаж двух энергосберегающих сетевых насосов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2026 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1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424463,0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41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39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4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688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Котельная № 12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888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Приобретение и монтаж двух энергосберегающих сетевых насосов; монтаж теплообменного оборудования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70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2024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15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504809,0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3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5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6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Котельная № 6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888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Приобретение и монтаж водогрейного котла 0,63 Гкал/ч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2030 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1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791934,0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3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6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6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Котельная № 13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888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Приобретение и монтаж двух энергосберегающих сетевых насосов; монтаж теплообменного оборудования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2024 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1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455268,0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39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7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688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Котельная № 14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2888" w:type="pct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Приобретение и монтаж двух энергосберегающих сетевых насосов; монтаж теплообменного оборудования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370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2030 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1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504809,0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20"/>
        </w:trPr>
        <w:tc>
          <w:tcPr>
            <w:gridSpan w:val="4"/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418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Итого по муниципальному образованию </w:t>
            </w:r>
            <w:r>
              <w:rPr>
                <w:color w:val="auto"/>
                <w:sz w:val="22"/>
                <w:szCs w:val="22"/>
              </w:rPr>
              <w:t xml:space="preserve">«Тайшетский район»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W w:w="815" w:type="pct"/>
            <w:vAlign w:val="center"/>
            <w:textDirection w:val="lrTb"/>
            <w:noWrap w:val="false"/>
          </w:tcPr>
          <w:p>
            <w:pPr>
              <w:jc w:val="center"/>
              <w:rPr>
                <w:rFonts w:eastAsiaTheme="minorHAnsi"/>
                <w:color w:val="auto"/>
                <w:sz w:val="22"/>
                <w:szCs w:val="22"/>
              </w:rPr>
            </w:pPr>
            <w:r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3617396,0</w:t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  <w:r>
              <w:rPr>
                <w:rFonts w:eastAsiaTheme="minorHAnsi"/>
                <w:color w:val="auto"/>
                <w:sz w:val="22"/>
                <w:szCs w:val="22"/>
              </w:rPr>
            </w:r>
          </w:p>
        </w:tc>
      </w:tr>
    </w:tbl>
    <w:p>
      <w:pPr>
        <w:ind w:firstLine="451"/>
        <w:jc w:val="both"/>
        <w:spacing w:before="140" w:line="240" w:lineRule="atLeast"/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  <w:color w:val="auto"/>
        </w:rPr>
      </w:pPr>
      <w:r>
        <w:rPr>
          <w:color w:val="auto"/>
        </w:rPr>
      </w:r>
      <w:bookmarkStart w:id="147" w:name="_Toc149055677"/>
      <w:r>
        <w:rPr>
          <w:rFonts w:eastAsiaTheme="majorEastAsia"/>
          <w:bCs/>
          <w:color w:val="auto"/>
        </w:rPr>
        <w:t xml:space="preserve">16.2. Перечень мероприятий по строительству, реконструкции, техническому перевооружению и модернизации тепловых сетей и сооружений на них</w:t>
      </w:r>
      <w:bookmarkEnd w:id="147"/>
      <w:r>
        <w:rPr>
          <w:rFonts w:eastAsiaTheme="majorEastAsia"/>
          <w:bCs/>
          <w:color w:val="auto"/>
        </w:rPr>
      </w:r>
      <w:r>
        <w:rPr>
          <w:rFonts w:eastAsiaTheme="majorEastAsia"/>
          <w:bCs/>
          <w:color w:val="auto"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EastAsia"/>
          <w:color w:val="auto"/>
        </w:rPr>
        <w:t xml:space="preserve">Перечень мероприятий </w:t>
      </w:r>
      <w:r>
        <w:rPr>
          <w:rFonts w:eastAsiaTheme="majorEastAsia"/>
          <w:bCs/>
          <w:color w:val="auto"/>
        </w:rPr>
        <w:t xml:space="preserve">по строительству, реконструкции, техническому перевооружению и модернизации</w:t>
      </w:r>
      <w:r>
        <w:rPr>
          <w:rFonts w:eastAsiaTheme="minorEastAsia"/>
          <w:color w:val="auto"/>
        </w:rPr>
        <w:t xml:space="preserve"> </w:t>
      </w:r>
      <w:r>
        <w:rPr>
          <w:rFonts w:eastAsiaTheme="majorEastAsia"/>
          <w:bCs/>
          <w:color w:val="auto"/>
        </w:rPr>
        <w:t xml:space="preserve">тепловых сетей и сооружений на них</w:t>
      </w:r>
      <w:r>
        <w:rPr>
          <w:rFonts w:eastAsiaTheme="minorEastAsia"/>
          <w:color w:val="auto"/>
        </w:rPr>
        <w:t xml:space="preserve"> Тайшетского городского поселения представлен в Таблице 61.</w:t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p>
      <w:pPr>
        <w:ind w:firstLine="709"/>
        <w:jc w:val="both"/>
        <w:tabs>
          <w:tab w:val="left" w:pos="709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EastAsia"/>
          <w:color w:val="auto"/>
        </w:rPr>
        <w:t xml:space="preserve">Источниками финансирования мероприятий </w:t>
      </w:r>
      <w:r>
        <w:rPr>
          <w:rFonts w:eastAsiaTheme="majorEastAsia"/>
          <w:bCs/>
          <w:color w:val="auto"/>
        </w:rPr>
        <w:t xml:space="preserve">по строительству, реконструкции, техническому перевооружению и модернизации тепловых сетей и сооружений на них</w:t>
      </w:r>
      <w:r>
        <w:rPr>
          <w:rFonts w:eastAsiaTheme="minorEastAsia"/>
          <w:color w:val="auto"/>
        </w:rPr>
        <w:t xml:space="preserve"> являются финансовые средства ресурсоснабжающей организации в рамках инвестиционной программы и заключенного концессионного соглашения.</w:t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p>
      <w:pPr>
        <w:ind w:firstLine="709"/>
        <w:jc w:val="both"/>
        <w:keepLines/>
        <w:keepNext/>
        <w:widowControl w:val="off"/>
        <w:rPr>
          <w:rFonts w:eastAsiaTheme="majorEastAsia"/>
          <w:bCs/>
          <w:color w:val="auto"/>
        </w:rPr>
      </w:pPr>
      <w:r>
        <w:rPr>
          <w:color w:val="auto"/>
        </w:rPr>
      </w:r>
      <w:bookmarkStart w:id="148" w:name="_Toc149055678"/>
      <w:r>
        <w:rPr>
          <w:rFonts w:eastAsiaTheme="majorEastAsia"/>
          <w:bCs/>
          <w:color w:val="auto"/>
        </w:rPr>
        <w:t xml:space="preserve">16.3. Перечень мероприятий, обеспечивающих переход от открытых систем теплоснабжения (горячего водоснабжения) на закрытые системы горячего водоснабжения</w:t>
      </w:r>
      <w:bookmarkEnd w:id="148"/>
      <w:r>
        <w:rPr>
          <w:rFonts w:eastAsiaTheme="majorEastAsia"/>
          <w:bCs/>
          <w:color w:val="auto"/>
        </w:rPr>
      </w:r>
      <w:r>
        <w:rPr>
          <w:rFonts w:eastAsiaTheme="majorEastAsia"/>
          <w:bCs/>
          <w:color w:val="auto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HAnsi"/>
          <w:color w:val="auto"/>
          <w:lang w:eastAsia="en-US"/>
        </w:rPr>
        <w:t xml:space="preserve">Перевод открытых систем  теплоснабжения (горячего водоснабжения) в закрытые системы теплоснабжения в условиях города Тайшета, в первую очередь, связано с реализацией технических мероприятий во внутридомовых системах теплопотребления.                </w:t>
      </w:r>
      <w:r>
        <w:rPr>
          <w:rFonts w:eastAsiaTheme="minorEastAsia"/>
          <w:color w:val="auto"/>
        </w:rPr>
        <w:t xml:space="preserve">Все мероприятия по переводу на закрытую систему теплоснабжения предполагается выполнить путем строительства индивидуальных тепловых пунктов у потребителей, в связи с чем, планируемые мероприятия будут реализованы по средствам:</w:t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EastAsia"/>
          <w:color w:val="auto"/>
        </w:rPr>
        <w:t xml:space="preserve">1. Многоквартирные жилые дома - за счет программ капитального (текущего) ремонта, за счет средств собственников помещений в доме.</w:t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2. Потребители бюджетной сферы - за счет бюджетов соответствующих уровней (федеральный, областной, муниципальный).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widowControl w:val="off"/>
        <w:tabs>
          <w:tab w:val="left" w:pos="567" w:leader="none"/>
          <w:tab w:val="right" w:pos="9923" w:leader="dot"/>
        </w:tabs>
        <w:rPr>
          <w:rFonts w:eastAsiaTheme="minorEastAsia"/>
        </w:rPr>
      </w:pPr>
      <w:r>
        <w:rPr>
          <w:rFonts w:eastAsiaTheme="minorEastAsia"/>
        </w:rPr>
        <w:t xml:space="preserve">3. Остальные потребители – хозяйствующие субъекты за счет собственных средств.</w:t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ind w:firstLine="709"/>
        <w:jc w:val="both"/>
        <w:rPr>
          <w:rFonts w:asciiTheme="minorHAnsi" w:hAnsiTheme="minorHAnsi" w:eastAsiaTheme="minorHAnsi" w:cstheme="minorBidi"/>
          <w:sz w:val="22"/>
          <w:szCs w:val="22"/>
          <w:lang w:eastAsia="en-US"/>
        </w:rPr>
      </w:pPr>
      <w:r>
        <w:rPr>
          <w:rFonts w:eastAsiaTheme="minorEastAsia"/>
        </w:rPr>
        <w:t xml:space="preserve">Решения по возможному переходу на закрытую систему теплоснабжения (горячего водоснабжения) для потребителей города Тайшет подлежат разработке и оценке, возможно при выполнении следующих актуализаций схемы теплоснабжения.</w:t>
      </w:r>
      <w:r>
        <w:rPr>
          <w:rFonts w:asciiTheme="minorHAnsi" w:hAnsiTheme="minorHAnsi" w:eastAsiaTheme="minorHAnsi" w:cstheme="minorBidi"/>
          <w:sz w:val="22"/>
          <w:szCs w:val="22"/>
          <w:lang w:eastAsia="en-US"/>
        </w:rPr>
      </w:r>
      <w:r>
        <w:rPr>
          <w:rFonts w:asciiTheme="minorHAnsi" w:hAnsiTheme="minorHAnsi" w:eastAsiaTheme="minorHAnsi" w:cstheme="minorBidi"/>
          <w:sz w:val="22"/>
          <w:szCs w:val="22"/>
          <w:lang w:eastAsia="en-US"/>
        </w:rPr>
      </w:r>
    </w:p>
    <w:p>
      <w:pPr>
        <w:ind w:firstLine="451"/>
        <w:jc w:val="both"/>
        <w:spacing w:before="140" w:line="240" w:lineRule="atLeast"/>
      </w:pPr>
      <w:r/>
      <w:r/>
    </w:p>
    <w:p>
      <w:pPr>
        <w:jc w:val="right"/>
        <w:tabs>
          <w:tab w:val="left" w:pos="709" w:leader="none"/>
          <w:tab w:val="right" w:pos="9923" w:leader="dot"/>
        </w:tabs>
        <w:rPr>
          <w:rFonts w:eastAsiaTheme="minorEastAsia"/>
        </w:rPr>
        <w:sectPr>
          <w:headerReference w:type="default" r:id="rId9"/>
          <w:headerReference w:type="even" r:id="rId10"/>
          <w:footnotePr/>
          <w:endnotePr/>
          <w:type w:val="nextPage"/>
          <w:pgSz w:w="11906" w:h="16838" w:orient="portrait"/>
          <w:pgMar w:top="1134" w:right="851" w:bottom="1134" w:left="1701" w:header="709" w:footer="709" w:gutter="0"/>
          <w:cols w:num="1" w:sep="0" w:space="708" w:equalWidth="1"/>
          <w:docGrid w:linePitch="360"/>
        </w:sectPr>
      </w:pPr>
      <w:r>
        <w:rPr>
          <w:rFonts w:eastAsiaTheme="minorEastAsia"/>
        </w:rPr>
      </w:r>
      <w:r>
        <w:rPr>
          <w:rFonts w:eastAsiaTheme="minorEastAsia"/>
        </w:rPr>
      </w:r>
      <w:r>
        <w:rPr>
          <w:rFonts w:eastAsiaTheme="minorEastAsia"/>
        </w:rPr>
      </w:r>
    </w:p>
    <w:p>
      <w:pPr>
        <w:jc w:val="right"/>
        <w:tabs>
          <w:tab w:val="left" w:pos="709" w:leader="none"/>
          <w:tab w:val="right" w:pos="9923" w:leader="dot"/>
        </w:tabs>
        <w:rPr>
          <w:rFonts w:eastAsiaTheme="minorEastAsia"/>
          <w:color w:val="auto"/>
        </w:rPr>
      </w:pPr>
      <w:r>
        <w:rPr>
          <w:rFonts w:eastAsiaTheme="minorEastAsia"/>
          <w:color w:val="auto"/>
        </w:rPr>
        <w:t xml:space="preserve">Таблица 61</w:t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p>
      <w:pPr>
        <w:jc w:val="center"/>
        <w:tabs>
          <w:tab w:val="left" w:pos="709" w:leader="none"/>
          <w:tab w:val="right" w:pos="9923" w:leader="dot"/>
        </w:tabs>
        <w:rPr>
          <w:color w:val="auto"/>
        </w:rPr>
      </w:pPr>
      <w:r>
        <w:rPr>
          <w:rFonts w:eastAsiaTheme="minorEastAsia"/>
          <w:color w:val="auto"/>
        </w:rPr>
        <w:t xml:space="preserve">П</w:t>
      </w:r>
      <w:r>
        <w:rPr>
          <w:color w:val="auto"/>
        </w:rPr>
        <w:t xml:space="preserve">еречень мероприятий по строительству, реконструкции, техническому перевооружению и (или) модернизации тепловых сетей </w:t>
      </w:r>
      <w:r>
        <w:rPr>
          <w:color w:val="auto"/>
        </w:rPr>
      </w:r>
      <w:r>
        <w:rPr>
          <w:color w:val="auto"/>
        </w:rPr>
      </w:r>
    </w:p>
    <w:p>
      <w:pPr>
        <w:jc w:val="center"/>
        <w:tabs>
          <w:tab w:val="left" w:pos="709" w:leader="none"/>
          <w:tab w:val="right" w:pos="9923" w:leader="dot"/>
        </w:tabs>
        <w:rPr>
          <w:color w:val="auto"/>
        </w:rPr>
      </w:pPr>
      <w:r>
        <w:rPr>
          <w:color w:val="auto"/>
        </w:rPr>
        <w:t xml:space="preserve">и сооружений на них</w:t>
      </w:r>
      <w:r>
        <w:rPr>
          <w:color w:val="auto"/>
        </w:rPr>
      </w:r>
      <w:r>
        <w:rPr>
          <w:color w:val="auto"/>
        </w:rPr>
      </w:r>
    </w:p>
    <w:tbl>
      <w:tblPr>
        <w:tblW w:w="15441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94"/>
        <w:gridCol w:w="3694"/>
        <w:gridCol w:w="1134"/>
        <w:gridCol w:w="992"/>
        <w:gridCol w:w="1134"/>
        <w:gridCol w:w="850"/>
        <w:gridCol w:w="992"/>
        <w:gridCol w:w="992"/>
        <w:gridCol w:w="992"/>
        <w:gridCol w:w="992"/>
        <w:gridCol w:w="992"/>
        <w:gridCol w:w="1105"/>
        <w:gridCol w:w="12"/>
        <w:gridCol w:w="865"/>
      </w:tblGrid>
      <w:tr>
        <w:tblPrEx/>
        <w:trPr>
          <w:trHeight w:val="57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№ п/п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Наименование мероприятия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12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Планируемая потребность в финансовых средствах, тыс.рублей без учета НДС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57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Итого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Базовый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non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Переходный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5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819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Первый 5-летний период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7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Последующие 5-летние периоды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57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  <w:r>
              <w:rPr>
                <w:b/>
                <w:bCs/>
                <w:color w:val="ff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2025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2029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2030-2034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2035-2039 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2040-2041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gridSpan w:val="13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4576" w:type="dxa"/>
            <w:vAlign w:val="center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 Строительство тепловых сетей для обеспечения перспективных приростов тепловой нагрузки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от ТК -12 ТС-7 (инв. № Ю01132096) котельной № 1 до ТК12-2, от ТК-12-2 до границы земельного участка 38:29:011003:29 (микрорайон Центральный).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37189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37189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от ТК-12-2 (проект.) до границы земельного участка 38:29:011003:180 (общеобразовательная школа на 1275 мест). Характеристики уточняются проектом.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20503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19009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1394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котельной № 1 от ТК-9-7 до границы земельного участка 38:29:011001:85 (ОВД) диаметром 133 мм, ориентировочной протяженностью 22 метра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 до границы земельного участка 38:29:000000:46 (Детский сад РУСАЛ))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16468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1468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15000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до границы земельного участка жилого микрорайона «РУСАЛквартАЛ» ООО «РУСАЛ Тайшетский алюминиевый завод» в селе Старый –Акульшет.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136325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5256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131069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Строительство тепловой сети  до границы земельного участка 38:29:011001:2076 (Каток РУСАЛ)) 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12389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2389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645"/>
        </w:trPr>
        <w:tc>
          <w:tcPr>
            <w:gridSpan w:val="13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4576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 Строительство тепловых сетей, обеспечивающих условия,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8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Участок тепловой сети от ТК-9 до ТК-9-7, организация перемычки от ТК-9-7 до ТС-12 (инвентарный № Ю0</w:t>
            </w:r>
            <w:r>
              <w:rPr>
                <w:color w:val="auto"/>
                <w:sz w:val="22"/>
                <w:szCs w:val="22"/>
              </w:rPr>
              <w:t xml:space="preserve">1132096). Реконструкция: Строительство тепловой сети диаметром 300мм протяженностью 327 метров от ТК-9-7 ТС-7 котельной № 1 (инвентарный № Ю01132096) до тепловой сети ТС-12 котельной № 2 (инвентарный № Ю01132096) диаметром 300 мм протяженностью 327 метров.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206213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196725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gridSpan w:val="13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4576" w:type="dxa"/>
            <w:vAlign w:val="center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 Реконструкция тепловых сетей, подлежащих замене в связи с исчерпанием эксплуатационного ресурса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ТС-27 электрокотельной ДТВ ОАО «РЖД» от ТК-40  до жилого дом по улице Осипенко, 2  (инвентарный № Ю01132126) протяженностью 460 метров  с изменением диаметра согласно проектной документации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37747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5297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32450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567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ТС-6 котельной № 1 от вертикального компенсатора К-7 до К-10 по улице Индустриальной (инвентарный № Ю01132095) диаметром 700 мм протяженностью 291 метр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29557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16413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12082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ТС-6 котельной №1 от вертикального компенсатора К-12 до ТК-3 по улице Индустриальной (инвентарный № Ю01132095) диаметром 700 мм протяженностью 277 метров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24882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13152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10426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от ТК-5-15 до ТК-5-24 по ул. Зои Космодемьянской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41988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1120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122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13854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26892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ТС-20 котельной № 2 от ТК-11-3 до жилого дома по улице Крупской, 92  (инвентарный № Ю01132119) диаметром 150 мм протяженностью 215 метров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23227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23227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тепловой сети по улице Транспортной от ТК-2 до ТК-3 от котельной №2 (инвентарный № Ю01132108) протяженностью 214 метров, с изменением диаметра с 400 мм до 500 мм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19356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19356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тепловой сети котельной № 2 от ТК3-4 до ТК3-12 по улице Терешковой (ТС-11, инвентарный № Ю01132111) (с ПИР)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81272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4556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572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92" w:type="dxa"/>
            <w:vAlign w:val="bottom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36144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ТС-12 от ТК-3-12 до ТК3-18 (инвентарный № Ю01132112) с увеличением диаметра.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46540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6540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тепловой сети котельной № 1 по улице Полевой (частный сектор) диаметром 150 мм протяженностью 159 метров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25787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5787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от котельной № 4 до ТК-3 по улице Новой (инвентарный № Ю01132103) протяженностью 195 метров  с изменением диаметра согласно проектной документации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38140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4140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34000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участков тепловой сети ТС-22 котельной № 2  от ТК-30 до ТК-34 (инвентарный № Ю01132121) диаметром 300 мм протяженностью 175 метров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61795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5795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56000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и техническое перевооружение ветхих тепловых сетей в объеме 5 %.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2549233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218742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299241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175984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927633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927633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3.13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Техническое перевооружение участка тепловой сети от ТК-6 до ТК-9 котельной № 5 (Совхоз)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30284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bottom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bottom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3028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17256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gridAfter w:val="1"/>
          <w:trHeight w:val="300"/>
        </w:trPr>
        <w:tc>
          <w:tcPr>
            <w:gridSpan w:val="13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4576" w:type="dxa"/>
            <w:vAlign w:val="center"/>
            <w:textDirection w:val="lrTb"/>
            <w:noWrap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 Реконструкция тепловых сетей с увеличением диаметра трубопроводов для обеспечения перспективных приростов тепловой нагрузки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114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4.1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Реконструкция участка тепловой сети ТС-7 котельной № 1  (инв. № Ю01132096) от района П-образного компенсатора К-24 + 54,50 м (секционирующий узел УТ1) до ТК-12 (характеристики уточняются проектом), в т.ч: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281078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67966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72986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25788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20000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85247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0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4.1.1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</w:t>
            </w:r>
            <w:r>
              <w:rPr>
                <w:color w:val="auto"/>
                <w:sz w:val="22"/>
                <w:szCs w:val="22"/>
              </w:rPr>
              <w:t xml:space="preserve">ТС-7 от УТ1 до ТК5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105247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85247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4.1.2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ТС-7  от ТК5 до ТК9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105331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6557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72986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25788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4.1.3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ТС-7 от ТК9 до ТК12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70500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61409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ТС-7 от угла поворота сети УП15+5м до района П-образного компенсатора К-24 + 54,50 м (секционирующий узел УТ1)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101069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4812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2706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53551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4.3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Установка регулирующих балансировочных клапанов на ответвлениях от магистральных и внутриквартальных трубопроводов.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Реконструкция участка тепловой сети ТС-6 котельной № 1 от компенсатора К-1 до К-3 (инвентарный № Ю01132095) протяженность и диаметр уточняются проектом.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112594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5848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1646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29830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33056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42214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4.5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center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Установка повышающей насосной станции  в районе тепловой камеры ТК-5 тепловой сети ТС-7 (инвентарный № Ю01132096) (при обосновании)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80000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78000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94" w:type="dxa"/>
            <w:vAlign w:val="center"/>
            <w:textDirection w:val="lrTb"/>
            <w:noWrap/>
          </w:tcPr>
          <w:p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 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3694" w:type="dxa"/>
            <w:vAlign w:val="bottom"/>
            <w:textDirection w:val="lrTb"/>
            <w:noWrap w:val="false"/>
          </w:tcPr>
          <w:p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Итого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4018451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124194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4" w:type="dxa"/>
            <w:vAlign w:val="bottom"/>
            <w:textDirection w:val="lrTb"/>
            <w:noWrap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114952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50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78427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bottom"/>
            <w:textDirection w:val="lrTb"/>
            <w:noWrap/>
          </w:tcPr>
          <w:p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52797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330273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589559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355432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992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505936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05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927633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77" w:type="dxa"/>
            <w:vAlign w:val="bottom"/>
            <w:textDirection w:val="lrTb"/>
            <w:noWrap/>
          </w:tcPr>
          <w:p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927633</w:t>
            </w:r>
            <w:r>
              <w:rPr>
                <w:b/>
                <w:bCs/>
                <w:color w:val="auto"/>
                <w:sz w:val="22"/>
                <w:szCs w:val="22"/>
              </w:rPr>
            </w:r>
            <w:r>
              <w:rPr>
                <w:b/>
                <w:bCs/>
                <w:color w:val="auto"/>
                <w:sz w:val="22"/>
                <w:szCs w:val="22"/>
              </w:rPr>
            </w:r>
          </w:p>
        </w:tc>
      </w:tr>
    </w:tbl>
    <w:p>
      <w:pPr>
        <w:jc w:val="center"/>
        <w:tabs>
          <w:tab w:val="left" w:pos="709" w:leader="none"/>
          <w:tab w:val="right" w:pos="9923" w:leader="dot"/>
        </w:tabs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jc w:val="center"/>
        <w:tabs>
          <w:tab w:val="left" w:pos="709" w:leader="none"/>
          <w:tab w:val="right" w:pos="9923" w:leader="dot"/>
        </w:tabs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jc w:val="center"/>
        <w:tabs>
          <w:tab w:val="left" w:pos="709" w:leader="none"/>
          <w:tab w:val="right" w:pos="9923" w:leader="dot"/>
        </w:tabs>
        <w:rPr>
          <w:color w:val="auto"/>
        </w:rPr>
      </w:pPr>
      <w:r>
        <w:rPr>
          <w:color w:val="auto"/>
        </w:rPr>
      </w:r>
      <w:bookmarkStart w:id="149" w:name="_GoBack"/>
      <w:r>
        <w:rPr>
          <w:color w:val="auto"/>
        </w:rPr>
      </w:r>
      <w:bookmarkEnd w:id="149"/>
      <w:r>
        <w:rPr>
          <w:color w:val="auto"/>
        </w:rPr>
      </w:r>
      <w:r>
        <w:rPr>
          <w:color w:val="auto"/>
        </w:rPr>
      </w:r>
    </w:p>
    <w:p>
      <w:pPr>
        <w:jc w:val="center"/>
        <w:tabs>
          <w:tab w:val="left" w:pos="709" w:leader="none"/>
          <w:tab w:val="right" w:pos="9923" w:leader="dot"/>
        </w:tabs>
        <w:rPr>
          <w:color w:val="auto"/>
        </w:rPr>
      </w:pPr>
      <w:r>
        <w:rPr>
          <w:color w:val="auto"/>
        </w:rPr>
      </w:r>
      <w:r>
        <w:rPr>
          <w:color w:val="auto"/>
        </w:rPr>
      </w:r>
      <w:r>
        <w:rPr>
          <w:color w:val="auto"/>
        </w:rPr>
      </w:r>
    </w:p>
    <w:p>
      <w:pPr>
        <w:jc w:val="center"/>
        <w:tabs>
          <w:tab w:val="left" w:pos="709" w:leader="none"/>
          <w:tab w:val="right" w:pos="9923" w:leader="dot"/>
        </w:tabs>
        <w:rPr>
          <w:rFonts w:eastAsiaTheme="minorEastAsia"/>
          <w:color w:val="auto"/>
        </w:rPr>
        <w:sectPr>
          <w:footnotePr/>
          <w:endnotePr/>
          <w:type w:val="nextPage"/>
          <w:pgSz w:w="16838" w:h="11906" w:orient="landscape"/>
          <w:pgMar w:top="851" w:right="1134" w:bottom="851" w:left="1134" w:header="709" w:footer="709" w:gutter="0"/>
          <w:cols w:num="1" w:sep="0" w:space="708" w:equalWidth="1"/>
          <w:docGrid w:linePitch="360"/>
        </w:sectPr>
      </w:pP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  <w:r>
        <w:rPr>
          <w:rFonts w:eastAsiaTheme="minorEastAsia"/>
          <w:color w:val="auto"/>
        </w:rPr>
      </w:r>
    </w:p>
    <w:p>
      <w:pPr>
        <w:jc w:val="center"/>
        <w:rPr>
          <w:rFonts w:eastAsiaTheme="majorEastAsia"/>
          <w:bCs/>
          <w:caps/>
          <w:color w:val="auto"/>
          <w:szCs w:val="26"/>
        </w:rPr>
      </w:pPr>
      <w:r>
        <w:rPr>
          <w:rFonts w:eastAsiaTheme="majorEastAsia"/>
          <w:bCs/>
          <w:caps/>
          <w:color w:val="auto"/>
          <w:szCs w:val="26"/>
        </w:rPr>
        <w:t xml:space="preserve">ГЛАВА 17. ЗАМЕЧАНИЯ И ПРЕДЛОЖЕНИЯ К ПРОЕКТУ СХЕМЫ ТЕПЛОСНАБЖЕНИЯ</w:t>
      </w:r>
      <w:r>
        <w:rPr>
          <w:rFonts w:eastAsiaTheme="majorEastAsia"/>
          <w:bCs/>
          <w:caps/>
          <w:color w:val="auto"/>
          <w:szCs w:val="26"/>
        </w:rPr>
      </w:r>
      <w:r>
        <w:rPr>
          <w:rFonts w:eastAsiaTheme="majorEastAsia"/>
          <w:bCs/>
          <w:caps/>
          <w:color w:val="auto"/>
          <w:szCs w:val="26"/>
        </w:rPr>
      </w:r>
    </w:p>
    <w:p>
      <w:pPr>
        <w:jc w:val="center"/>
        <w:rPr>
          <w:rFonts w:eastAsiaTheme="minorHAnsi"/>
          <w:color w:val="auto"/>
        </w:rPr>
      </w:pPr>
      <w:r>
        <w:rPr>
          <w:rFonts w:eastAsiaTheme="minorHAnsi"/>
          <w:color w:val="auto"/>
          <w:lang w:eastAsia="en-US"/>
        </w:rPr>
      </w:r>
      <w:r>
        <w:rPr>
          <w:rFonts w:eastAsiaTheme="minorHAnsi"/>
          <w:color w:val="auto"/>
        </w:rPr>
      </w:r>
      <w:r>
        <w:rPr>
          <w:rFonts w:eastAsiaTheme="minorHAnsi"/>
          <w:color w:val="auto"/>
        </w:rPr>
      </w:r>
    </w:p>
    <w:p>
      <w:pPr>
        <w:ind w:firstLine="709"/>
        <w:jc w:val="both"/>
        <w:rPr>
          <w:rFonts w:eastAsiaTheme="minorHAnsi"/>
          <w:color w:val="auto"/>
        </w:rPr>
      </w:pPr>
      <w:r>
        <w:rPr>
          <w:rFonts w:eastAsiaTheme="minorHAnsi"/>
          <w:color w:val="auto"/>
          <w:lang w:eastAsia="en-US"/>
        </w:rPr>
        <w:t xml:space="preserve">17.1. Перечень всех замечаний и предложений, поступивших при разработке, утверждении и актуализации схемы теплоснабжения.</w:t>
      </w:r>
      <w:r>
        <w:rPr>
          <w:rFonts w:eastAsiaTheme="minorHAnsi"/>
          <w:color w:val="auto"/>
        </w:rPr>
      </w:r>
      <w:r>
        <w:rPr>
          <w:rFonts w:eastAsiaTheme="minorHAnsi"/>
          <w:color w:val="auto"/>
        </w:rPr>
      </w:r>
    </w:p>
    <w:p>
      <w:pPr>
        <w:ind w:firstLine="709"/>
        <w:jc w:val="both"/>
        <w:rPr>
          <w:rFonts w:eastAsiaTheme="minorHAnsi"/>
          <w:color w:val="auto"/>
        </w:rPr>
      </w:pPr>
      <w:r>
        <w:rPr>
          <w:rFonts w:eastAsiaTheme="minorHAnsi"/>
          <w:color w:val="auto"/>
          <w:lang w:eastAsia="en-US"/>
        </w:rPr>
        <w:t xml:space="preserve">Замечания и предложения при актуализации схемы теплоснабжения не поступали.</w:t>
      </w:r>
      <w:r>
        <w:rPr>
          <w:rFonts w:eastAsiaTheme="minorHAnsi"/>
          <w:color w:val="auto"/>
        </w:rPr>
      </w:r>
      <w:r>
        <w:rPr>
          <w:rFonts w:eastAsiaTheme="minorHAnsi"/>
          <w:color w:val="auto"/>
        </w:rPr>
      </w:r>
    </w:p>
    <w:p>
      <w:pPr>
        <w:ind w:firstLine="709"/>
        <w:jc w:val="both"/>
        <w:rPr>
          <w:rFonts w:eastAsiaTheme="minorHAnsi"/>
          <w:color w:val="auto"/>
        </w:rPr>
      </w:pPr>
      <w:r>
        <w:rPr>
          <w:rFonts w:eastAsiaTheme="minorHAnsi"/>
          <w:color w:val="auto"/>
          <w:lang w:eastAsia="en-US"/>
        </w:rPr>
        <w:t xml:space="preserve">17.2. Ответы разработчиков проекта схемы теплоснабжения на замечания и предложения.</w:t>
      </w:r>
      <w:r>
        <w:rPr>
          <w:rFonts w:eastAsiaTheme="minorHAnsi"/>
          <w:color w:val="auto"/>
        </w:rPr>
      </w:r>
      <w:r>
        <w:rPr>
          <w:rFonts w:eastAsiaTheme="minorHAnsi"/>
          <w:color w:val="auto"/>
        </w:rPr>
      </w:r>
    </w:p>
    <w:p>
      <w:pPr>
        <w:ind w:firstLine="709"/>
        <w:jc w:val="both"/>
        <w:rPr>
          <w:rFonts w:eastAsiaTheme="minorHAnsi"/>
          <w:color w:val="auto"/>
        </w:rPr>
      </w:pPr>
      <w:r>
        <w:rPr>
          <w:rFonts w:eastAsiaTheme="minorHAnsi"/>
          <w:color w:val="auto"/>
          <w:lang w:eastAsia="en-US"/>
        </w:rPr>
        <w:t xml:space="preserve">В связи с тем, что замечания и предложения при актуализации схемы теплоснабжения не поступали, ответы разработчика проекта схемы теплоснабжения на замечания и предложения не направлялись.</w:t>
      </w:r>
      <w:r>
        <w:rPr>
          <w:rFonts w:eastAsiaTheme="minorHAnsi"/>
          <w:color w:val="auto"/>
        </w:rPr>
      </w:r>
      <w:r>
        <w:rPr>
          <w:rFonts w:eastAsiaTheme="minorHAnsi"/>
          <w:color w:val="auto"/>
        </w:rPr>
      </w:r>
    </w:p>
    <w:p>
      <w:pPr>
        <w:ind w:firstLine="709"/>
        <w:jc w:val="both"/>
        <w:rPr>
          <w:rFonts w:eastAsiaTheme="minorHAnsi"/>
          <w:color w:val="auto"/>
        </w:rPr>
      </w:pPr>
      <w:r>
        <w:rPr>
          <w:rFonts w:eastAsiaTheme="minorHAnsi"/>
          <w:color w:val="auto"/>
          <w:lang w:eastAsia="en-US"/>
        </w:rPr>
        <w:t xml:space="preserve">17.3. Перечень учтенных замечаний и предложений, а также реестр изменений, внесенных в разделы схемы теплоснабжения и главы обосновывающих материалов к схеме теплоснабжения.</w:t>
      </w:r>
      <w:r>
        <w:rPr>
          <w:rFonts w:eastAsiaTheme="minorHAnsi"/>
          <w:color w:val="auto"/>
        </w:rPr>
      </w:r>
      <w:r>
        <w:rPr>
          <w:rFonts w:eastAsiaTheme="minorHAnsi"/>
          <w:color w:val="auto"/>
        </w:rPr>
      </w:r>
    </w:p>
    <w:p>
      <w:pPr>
        <w:ind w:firstLine="709"/>
        <w:jc w:val="both"/>
        <w:rPr>
          <w:rFonts w:eastAsiaTheme="minorHAnsi"/>
          <w:color w:val="auto"/>
        </w:rPr>
      </w:pPr>
      <w:r>
        <w:rPr>
          <w:rFonts w:eastAsiaTheme="minorHAnsi"/>
          <w:color w:val="auto"/>
          <w:lang w:eastAsia="en-US"/>
        </w:rPr>
        <w:t xml:space="preserve">В связи с тем,</w:t>
      </w:r>
      <w:r>
        <w:rPr>
          <w:rFonts w:eastAsiaTheme="minorHAnsi"/>
          <w:color w:val="auto"/>
          <w:lang w:eastAsia="en-US"/>
        </w:rPr>
        <w:t xml:space="preserve"> что замечания и предложения при актуализации схемы теплоснабжения не поступали,  перечень учтенных замечаний, предложений и реестр изменений, внесенных в разделы схемы теплоснабжения и главы обосновывающих материалов к схеме теплоснабжения,   отсутствует.</w:t>
      </w:r>
      <w:r>
        <w:rPr>
          <w:rFonts w:eastAsiaTheme="minorHAnsi"/>
          <w:color w:val="auto"/>
        </w:rPr>
      </w:r>
      <w:r>
        <w:rPr>
          <w:rFonts w:eastAsiaTheme="minorHAnsi"/>
          <w:color w:val="auto"/>
        </w:rPr>
      </w:r>
    </w:p>
    <w:p>
      <w:pPr>
        <w:jc w:val="center"/>
        <w:rPr>
          <w:rFonts w:eastAsiaTheme="minorHAnsi"/>
          <w:color w:val="auto"/>
        </w:rPr>
      </w:pPr>
      <w:r>
        <w:rPr>
          <w:rFonts w:eastAsiaTheme="minorHAnsi"/>
          <w:color w:val="auto"/>
          <w:lang w:eastAsia="en-US"/>
        </w:rPr>
      </w:r>
      <w:r>
        <w:rPr>
          <w:rFonts w:eastAsiaTheme="minorHAnsi"/>
          <w:color w:val="auto"/>
        </w:rPr>
      </w:r>
      <w:r>
        <w:rPr>
          <w:rFonts w:eastAsiaTheme="minorHAnsi"/>
          <w:color w:val="auto"/>
        </w:rPr>
      </w:r>
    </w:p>
    <w:p>
      <w:pPr>
        <w:jc w:val="center"/>
        <w:rPr>
          <w:rFonts w:eastAsiaTheme="minorHAnsi"/>
          <w:lang w:eastAsia="en-US"/>
        </w:rPr>
      </w:pPr>
      <w:r>
        <w:rPr>
          <w:rFonts w:eastAsiaTheme="minorHAnsi"/>
          <w:color w:val="auto"/>
          <w:lang w:eastAsia="en-US"/>
        </w:rPr>
        <w:t xml:space="preserve">ГЛАВА 18. СВОДНЫЙ ТОМ ИЗМЕНЕНИЙ ВЫПОЛНЕННЫХ В </w:t>
      </w:r>
      <w:r>
        <w:rPr>
          <w:rFonts w:eastAsiaTheme="minorHAnsi"/>
          <w:lang w:eastAsia="en-US"/>
        </w:rPr>
        <w:t xml:space="preserve">АКТУАЛИЗИРОВАННОЙ </w:t>
      </w:r>
      <w:r>
        <w:rPr>
          <w:rFonts w:eastAsiaTheme="minorHAnsi"/>
          <w:lang w:val="en-US" w:eastAsia="en-US"/>
        </w:rPr>
        <w:t xml:space="preserve">C</w:t>
      </w:r>
      <w:r>
        <w:rPr>
          <w:rFonts w:eastAsiaTheme="minorHAnsi"/>
          <w:lang w:eastAsia="en-US"/>
        </w:rPr>
        <w:t xml:space="preserve">ХЕМЕ ТЕПЛОСНАБЖЕНИЯ.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Настоящая глава содержит реестр изменений, внесенных в актуализированную схему теплоснабжения. Реестр изменений, внесенных в актуализированную схему теплоснабжения, приведен в таблице 62.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Таблица 62 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Реестр изменений, внесенных в актуализированную схему теплоснабжения.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tbl>
      <w:tblPr>
        <w:tblStyle w:val="925"/>
        <w:tblW w:w="978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567"/>
        <w:gridCol w:w="1134"/>
        <w:gridCol w:w="3118"/>
        <w:gridCol w:w="4963"/>
      </w:tblGrid>
      <w:tr>
        <w:tblPrEx/>
        <w:trPr/>
        <w:tc>
          <w:tcPr>
            <w:tcBorders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t xml:space="preserve">№ п/п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Разделы 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31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разделов схемы теплоснабжения и глав обосновывающих материалов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</w:tcBorders>
            <w:tcW w:w="496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Суть изменения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gridSpan w:val="4"/>
            <w:tcW w:w="978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Утверждаемая часть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Borders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Раздел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8"/>
              </w:rPr>
              <w:t xml:space="preserve">Показатели существующего и перспективного спроса на тепловую энергию (мощность) и теплоноситель в установленных границах территории поселения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</w:tcBorders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ходе актуализации внесены изменения в Раздел 1 в соответствии с корректировкой прогноза перспективной тепловой нагрузки и предлагаемых мероприятий по развитию источников тепловой энергии.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Borders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Раздел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Существующие и перспективные балансы тепловой мощности источников тепловой энергии и тепловой нагрузки потребителей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</w:tcBorders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ходе актуализации внесены изменения в Раздел 2 в соответствии с корректировкой прогноза перспективной тепловой нагрузки и предлагаемых мероприятий по развитию источников тепловой энергии.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Borders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Раздел 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Существующие и перспективные балансы теплоносителя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</w:tcBorders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ходе актуализации внесены изменения в Раздел 3 в соответствии с корректировкой прогноза перспективной тепловой нагрузки и предлагаемых мероприятий по развитию систем теплоснабжения.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501"/>
        </w:trPr>
        <w:tc>
          <w:tcPr>
            <w:tcBorders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Раздел 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Мастер-план развития систем теплоснабжения поселения.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</w:tcBorders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ходе актуализации изменения в Раздел 4 не вносились.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Borders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Раздел 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Предложения по строительству, реконструкции, техническому перевооружению и (или) модернизации источников тепловой энергии.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</w:tcBorders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ходе актуализации внесены изменения в Раздел 5 в связи с корректировкой сроков исполнения мероприятий и их стоимости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Borders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Раздел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Предложения по строительству, реконструкции и (или) модернизации тепловых сетей.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</w:tcBorders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ходе актуализации внесены изменения в Раздел 6 в связи с корректировкой сроков исполнения мероприятий и их стоимости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Borders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Раздел 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Предложения по переводу открытых систем теплоснабжения (горячего водоснабжения) в закрытые системы горячего водоснабжения.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</w:tcBorders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ходе актуализации изменения в Раздел 7 не вносились.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Borders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Раздел 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Перспективные топливные балансы.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</w:tcBorders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Данные Раздела 8 актуализированы путем внесения изменений в части расчета количества используемого основного топлива на каждом источнике теплоснабжения, который  выполнен с учетом прогноза перспективной тепловой нагрузки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Borders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Раздел 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Инвестиции в строительство, реконструкцию, техническое перевооружение и (или) модернизацию.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</w:tcBorders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Данные Раздела 9 актуализированы в соответствии с предлагаемыми мероприятиями по развитию источников тепловой энергии и систем теплоснабжения.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Borders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Раздел 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Решение о присвоении статуса единой теплоснабжающей организации (организациям).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</w:tcBorders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ходе актуализации изменения в Раздел 10 не вносились.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Borders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Раздел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Решения о распределении тепловой нагрузки между источниками тепловой энергии.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</w:tcBorders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ходе актуализации изменения в Раздел 11 не вносились.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Borders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Раздел 12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Решения по бесхозяйным тепловым сетям.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</w:tcBorders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ходе актуализации изменения в Раздел 12 не вносились.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Borders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Раздел 13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pacing w:val="-8"/>
              </w:rPr>
            </w:pPr>
            <w:r>
              <w:rPr>
                <w:rFonts w:ascii="Times New Roman" w:hAnsi="Times New Roman" w:cs="Times New Roman"/>
              </w:rPr>
              <w:t xml:space="preserve">Синхронизация схемы теплоснабжения со схемой газоснабжения и газификации субъекта Российской Федерации и (или) поселения, схемой и программой развития электроэнергетики, а также со схемой водоснабжения и водоотведения поселения</w:t>
            </w:r>
            <w:r>
              <w:rPr>
                <w:rFonts w:ascii="Times New Roman" w:hAnsi="Times New Roman" w:cs="Times New Roman"/>
                <w:spacing w:val="-8"/>
              </w:rPr>
              <w:t xml:space="preserve">.</w:t>
            </w:r>
            <w:r>
              <w:rPr>
                <w:rFonts w:ascii="Times New Roman" w:hAnsi="Times New Roman" w:cs="Times New Roman"/>
                <w:spacing w:val="-8"/>
              </w:rPr>
            </w:r>
            <w:r>
              <w:rPr>
                <w:rFonts w:ascii="Times New Roman" w:hAnsi="Times New Roman" w:cs="Times New Roman"/>
                <w:spacing w:val="-8"/>
              </w:rPr>
            </w:r>
          </w:p>
        </w:tc>
        <w:tc>
          <w:tcPr>
            <w:tcBorders>
              <w:left w:val="single" w:color="auto" w:sz="4" w:space="0"/>
            </w:tcBorders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ходе актуализации изменения в Раздел 13 не вносились.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Borders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Раздел 14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Индикаторы развития систем теплоснабжения поселения.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</w:tcBorders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ходе актуализации изменения в Раздел 14 не вносились.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Borders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Раздел 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Ценовые (тарифные) </w:t>
            </w:r>
            <w:r>
              <w:rPr>
                <w:rFonts w:ascii="Times New Roman" w:hAnsi="Times New Roman" w:cs="Times New Roman"/>
              </w:rPr>
              <w:t xml:space="preserve">последствия.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</w:tcBorders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ходе актуализации изменения в </w:t>
            </w:r>
            <w:r>
              <w:rPr>
                <w:rFonts w:ascii="Times New Roman" w:hAnsi="Times New Roman" w:cs="Times New Roman"/>
              </w:rPr>
              <w:t xml:space="preserve">Раздел 15 не вносились.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gridSpan w:val="4"/>
            <w:tcW w:w="9782" w:type="dxa"/>
            <w:textDirection w:val="lrTb"/>
            <w:noWrap w:val="false"/>
          </w:tcPr>
          <w:p>
            <w:pPr>
              <w:contextualSpacing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 xml:space="preserve">Обосновывающие материалы</w:t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</w:tr>
      <w:tr>
        <w:tblPrEx/>
        <w:trPr>
          <w:trHeight w:val="1606"/>
        </w:trPr>
        <w:tc>
          <w:tcPr>
            <w:tcBorders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Существующее положение в сфере производства, передачи и потребления тепловой энергии для целей теплоснабжения.</w:t>
            </w:r>
            <w:bookmarkStart w:id="150" w:name="P204"/>
            <w:r/>
            <w:bookmarkStart w:id="151" w:name="P212"/>
            <w:r/>
            <w:bookmarkEnd w:id="150"/>
            <w:r/>
            <w:bookmarkEnd w:id="151"/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</w:tcBorders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1 актуализирована в части показателей  тепловых нагрузок, балансов тепловой мощности источников и тепловой нагрузки потребителей, топливных балансов, балансов водоподготовительных установок, надежности теплоснабжения.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Borders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Существующее и перспективное потребление тепловой энергии на цели теплоснабжения.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left w:val="single" w:color="auto" w:sz="4" w:space="0"/>
            </w:tcBorders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2 актуализирована в части приростов площади строительных фондов, прогнозов перспективных удельных расходов тепловой энергии на отопление, вентиляцию и ГВС, прогнозов прироста объемов потребления </w:t>
            </w:r>
            <w:r>
              <w:rPr>
                <w:rFonts w:ascii="Times New Roman" w:hAnsi="Times New Roman" w:cs="Times New Roman"/>
                <w:spacing w:val="-8"/>
              </w:rPr>
              <w:t xml:space="preserve">тепловой энергии (мощности)</w:t>
            </w:r>
            <w:r>
              <w:rPr>
                <w:rFonts w:ascii="Times New Roman" w:hAnsi="Times New Roman" w:cs="Times New Roman"/>
              </w:rPr>
              <w:t xml:space="preserve"> и теплоносителя.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Электронная модель системы теплоснабжения поселения.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ходе актуализации изменения в Главу 3 не вносились.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1158"/>
        </w:trPr>
        <w:tc>
          <w:tcPr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Существующие и перспективные балансы тепловой мощности источников тепловой энергии и тепловой нагрузки потребителей.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4 актуализирована с учетом прогноза перспективной нагрузки и корректировки предложений по развитию систем теплоснабжения.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Мастер-план развития систем теплоснабжения поселения.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ходе актуализации изменения в Главу 5 не вносились.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потребителей, в том числе в аварийных режимах.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pacing w:val="-8"/>
              </w:rPr>
            </w:pPr>
            <w:r>
              <w:rPr>
                <w:rFonts w:ascii="Times New Roman" w:hAnsi="Times New Roman" w:cs="Times New Roman"/>
                <w:spacing w:val="-8"/>
              </w:rPr>
              <w:t xml:space="preserve">Глава 6 актуализирована с учетом изменения прогноза перспективной нагрузки и корректировки предложений по развитию систем теплоснабжения.</w:t>
            </w:r>
            <w:r>
              <w:rPr>
                <w:rFonts w:ascii="Times New Roman" w:hAnsi="Times New Roman" w:cs="Times New Roman"/>
                <w:spacing w:val="-8"/>
              </w:rPr>
            </w:r>
            <w:r>
              <w:rPr>
                <w:rFonts w:ascii="Times New Roman" w:hAnsi="Times New Roman" w:cs="Times New Roman"/>
                <w:spacing w:val="-8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Предложения по строительству, реконструкции, техническому перевооружению и (или) модернизации источников тепловой энергии.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7 актуализирована в </w:t>
            </w:r>
            <w:r>
              <w:rPr>
                <w:rFonts w:ascii="Times New Roman" w:hAnsi="Times New Roman" w:cs="Times New Roman"/>
                <w:spacing w:val="-8"/>
              </w:rPr>
              <w:t xml:space="preserve">соответствии с </w:t>
            </w:r>
            <w:r>
              <w:rPr>
                <w:rFonts w:ascii="Times New Roman" w:hAnsi="Times New Roman" w:cs="Times New Roman"/>
              </w:rPr>
              <w:t xml:space="preserve">корректировкой сроков исполнения мероприятий и их стоимости.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1126"/>
        </w:trPr>
        <w:tc>
          <w:tcPr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Предложения по строительству, реконструкции и (или) модернизации тепловых сетей.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8 актуализирована в </w:t>
            </w:r>
            <w:r>
              <w:rPr>
                <w:rFonts w:ascii="Times New Roman" w:hAnsi="Times New Roman" w:cs="Times New Roman"/>
                <w:spacing w:val="-8"/>
              </w:rPr>
              <w:t xml:space="preserve">соответствии с </w:t>
            </w:r>
            <w:r>
              <w:rPr>
                <w:rFonts w:ascii="Times New Roman" w:hAnsi="Times New Roman" w:cs="Times New Roman"/>
              </w:rPr>
              <w:t xml:space="preserve">корректировкой сроков исполнения мероприятий и их стоимости.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Предложения по переводу открытых систем теплоснабжения (горячего </w:t>
            </w:r>
            <w:r>
              <w:rPr>
                <w:rFonts w:ascii="Times New Roman" w:hAnsi="Times New Roman" w:cs="Times New Roman"/>
              </w:rPr>
              <w:t xml:space="preserve">водоснабжения) в закрытые системы горячего водоснабжения.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ходе актуализации изменения в Главу 9 не вносились.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Перспективные топливные балансы.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10 актуализирована в соответствии с корректировкой прогноза  перспективной тепловой нагрузки.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Оценка надежности теплоснабжения.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11 актуализирована с учетом корректировки предложений по развитию систем теплоснабжения в части тепловых сетей.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12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Обоснование инвестиций в строительство, реконструкцию, техническое перевооружение и (или) модернизацию.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</w:t>
            </w:r>
            <w:r>
              <w:rPr>
                <w:rFonts w:ascii="Times New Roman" w:hAnsi="Times New Roman" w:cs="Times New Roman"/>
              </w:rPr>
              <w:t xml:space="preserve">12 актуализирована с учетом корректировки предложений по развитию источников тепловой энергии (мощности) и тепловых сетей. Выполнена корректировка затрат по ряду проектов по развитию источников тепловой энергии (мощности) и систем транспорта теплоносителя.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13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Индикаторы развития систем теплоснабжения поселения.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ходе актуализации изменения в Главу 13 не вносились.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14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Ценовые (тарифные) последствия.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ходе актуализации изменения в Главу 14 не вносились.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Реестр единых теплоснабжающих организаций.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ходе актуализации изменения в Главу 15 не вносились.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16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Реестр мероприятий схемы теплоснабжения.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16 актуализирована с учетом корректировки мероприятий схемы теплоснабжения и их стоимости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numPr>
                <w:ilvl w:val="0"/>
                <w:numId w:val="6"/>
              </w:numPr>
              <w:contextualSpacing/>
              <w:ind w:left="0" w:firstLine="0"/>
              <w:jc w:val="center"/>
              <w:widowControl w:val="off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  <w:r>
              <w:rPr>
                <w:rFonts w:ascii="Times New Roman" w:hAnsi="Times New Roman" w:cs="Times New Roman" w:eastAsiaTheme="minorEastAsia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17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Замечания и предложения к проекту схемы теплоснабжения.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96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актуализированной версии глава 17 не содержит замечаний и предложений к проекту схемы теплоснабжения.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</w:tbl>
    <w:p>
      <w:pPr>
        <w:ind w:firstLine="708"/>
        <w:jc w:val="both"/>
      </w:pPr>
      <w:r/>
      <w:r/>
    </w:p>
    <w:sectPr>
      <w:footnotePr/>
      <w:endnotePr/>
      <w:type w:val="nextPage"/>
      <w:pgSz w:w="11906" w:h="16838" w:orient="portrait"/>
      <w:pgMar w:top="1134" w:right="851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Courier New">
    <w:panose1 w:val="02070409020205020404"/>
  </w:font>
  <w:font w:name="Symbol">
    <w:panose1 w:val="05010000000000000000"/>
  </w:font>
  <w:font w:name="Segoe UI">
    <w:panose1 w:val="020B0502040504020204"/>
  </w:font>
  <w:font w:name="Calibri Light">
    <w:panose1 w:val="020F0502020204030204"/>
  </w:font>
  <w:font w:name="Cambria">
    <w:panose1 w:val="02040503050406030204"/>
  </w:font>
  <w:font w:name="Times New Roman CYR">
    <w:panose1 w:val="02020603050405020304"/>
  </w:font>
  <w:font w:name="Calibri">
    <w:panose1 w:val="020F0502020204030204"/>
  </w:font>
  <w:font w:name="Times New Roman">
    <w:panose1 w:val="02020603050405020304"/>
  </w:font>
  <w:font w:name="Tahoma">
    <w:panose1 w:val="020B0604030504040204"/>
  </w:font>
  <w:font w:name="Arial">
    <w:panose1 w:val="020B060402020202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r>
      <w:br/>
    </w:r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04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10"/>
      <w:ind w:right="360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10"/>
      <w:rPr>
        <w:rStyle w:val="907"/>
      </w:rPr>
      <w:framePr w:wrap="around" w:vAnchor="text" w:hAnchor="margin" w:xAlign="right" w:y="1"/>
    </w:pPr>
    <w:r>
      <w:rPr>
        <w:rStyle w:val="907"/>
      </w:rPr>
      <w:fldChar w:fldCharType="begin"/>
    </w:r>
    <w:r>
      <w:rPr>
        <w:rStyle w:val="907"/>
      </w:rPr>
      <w:instrText xml:space="preserve">PAGE  </w:instrText>
    </w:r>
    <w:r>
      <w:rPr>
        <w:rStyle w:val="907"/>
      </w:rPr>
      <w:fldChar w:fldCharType="end"/>
    </w:r>
    <w:r>
      <w:rPr>
        <w:rStyle w:val="907"/>
      </w:rPr>
    </w:r>
    <w:r>
      <w:rPr>
        <w:rStyle w:val="907"/>
      </w:rPr>
    </w:r>
  </w:p>
  <w:p>
    <w:pPr>
      <w:pStyle w:val="910"/>
      <w:ind w:right="360"/>
    </w:pPr>
    <w:r/>
    <w:r/>
  </w:p>
  <w:p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hint="default" w:eastAsiaTheme="minorHAnsi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2">
    <w:multiLevelType w:val="hybridMultilevel"/>
    <w:lvl w:ilvl="0">
      <w:start w:val="2022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 w:cs="Times New Roman" w:eastAsiaTheme="minorHAnsi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718">
    <w:name w:val="Heading 5 Char"/>
    <w:basedOn w:val="739"/>
    <w:link w:val="734"/>
    <w:uiPriority w:val="9"/>
    <w:rPr>
      <w:rFonts w:ascii="Arial" w:hAnsi="Arial" w:eastAsia="Arial" w:cs="Arial"/>
      <w:b/>
      <w:bCs/>
      <w:sz w:val="24"/>
      <w:szCs w:val="24"/>
    </w:rPr>
  </w:style>
  <w:style w:type="character" w:styleId="719">
    <w:name w:val="Heading 6 Char"/>
    <w:basedOn w:val="739"/>
    <w:link w:val="735"/>
    <w:uiPriority w:val="9"/>
    <w:rPr>
      <w:rFonts w:ascii="Arial" w:hAnsi="Arial" w:eastAsia="Arial" w:cs="Arial"/>
      <w:b/>
      <w:bCs/>
      <w:sz w:val="22"/>
      <w:szCs w:val="22"/>
    </w:rPr>
  </w:style>
  <w:style w:type="character" w:styleId="720">
    <w:name w:val="Heading 7 Char"/>
    <w:basedOn w:val="739"/>
    <w:link w:val="73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21">
    <w:name w:val="Heading 8 Char"/>
    <w:basedOn w:val="739"/>
    <w:link w:val="737"/>
    <w:uiPriority w:val="9"/>
    <w:rPr>
      <w:rFonts w:ascii="Arial" w:hAnsi="Arial" w:eastAsia="Arial" w:cs="Arial"/>
      <w:i/>
      <w:iCs/>
      <w:sz w:val="22"/>
      <w:szCs w:val="22"/>
    </w:rPr>
  </w:style>
  <w:style w:type="character" w:styleId="722">
    <w:name w:val="Heading 9 Char"/>
    <w:basedOn w:val="739"/>
    <w:link w:val="738"/>
    <w:uiPriority w:val="9"/>
    <w:rPr>
      <w:rFonts w:ascii="Arial" w:hAnsi="Arial" w:eastAsia="Arial" w:cs="Arial"/>
      <w:i/>
      <w:iCs/>
      <w:sz w:val="21"/>
      <w:szCs w:val="21"/>
    </w:rPr>
  </w:style>
  <w:style w:type="character" w:styleId="723">
    <w:name w:val="Title Char"/>
    <w:basedOn w:val="739"/>
    <w:link w:val="751"/>
    <w:uiPriority w:val="10"/>
    <w:rPr>
      <w:sz w:val="48"/>
      <w:szCs w:val="48"/>
    </w:rPr>
  </w:style>
  <w:style w:type="character" w:styleId="724">
    <w:name w:val="Subtitle Char"/>
    <w:basedOn w:val="739"/>
    <w:link w:val="753"/>
    <w:uiPriority w:val="11"/>
    <w:rPr>
      <w:sz w:val="24"/>
      <w:szCs w:val="24"/>
    </w:rPr>
  </w:style>
  <w:style w:type="character" w:styleId="725">
    <w:name w:val="Quote Char"/>
    <w:link w:val="755"/>
    <w:uiPriority w:val="29"/>
    <w:rPr>
      <w:i/>
    </w:rPr>
  </w:style>
  <w:style w:type="character" w:styleId="726">
    <w:name w:val="Intense Quote Char"/>
    <w:link w:val="757"/>
    <w:uiPriority w:val="30"/>
    <w:rPr>
      <w:i/>
    </w:rPr>
  </w:style>
  <w:style w:type="character" w:styleId="727">
    <w:name w:val="Footnote Text Char"/>
    <w:link w:val="887"/>
    <w:uiPriority w:val="99"/>
    <w:rPr>
      <w:sz w:val="18"/>
    </w:rPr>
  </w:style>
  <w:style w:type="character" w:styleId="728">
    <w:name w:val="Endnote Text Char"/>
    <w:link w:val="890"/>
    <w:uiPriority w:val="99"/>
    <w:rPr>
      <w:sz w:val="20"/>
    </w:rPr>
  </w:style>
  <w:style w:type="paragraph" w:styleId="729" w:default="1">
    <w:name w:val="Normal"/>
    <w:qFormat/>
    <w:rPr>
      <w:sz w:val="24"/>
      <w:szCs w:val="24"/>
    </w:rPr>
  </w:style>
  <w:style w:type="paragraph" w:styleId="730">
    <w:name w:val="Heading 1"/>
    <w:basedOn w:val="729"/>
    <w:link w:val="916"/>
    <w:uiPriority w:val="1"/>
    <w:qFormat/>
    <w:pPr>
      <w:ind w:left="506"/>
      <w:widowControl w:val="off"/>
      <w:outlineLvl w:val="0"/>
    </w:pPr>
    <w:rPr>
      <w:b/>
      <w:bCs/>
      <w:sz w:val="28"/>
      <w:szCs w:val="28"/>
      <w:lang w:val="en-US" w:eastAsia="en-US"/>
    </w:rPr>
  </w:style>
  <w:style w:type="paragraph" w:styleId="731">
    <w:name w:val="Heading 2"/>
    <w:basedOn w:val="729"/>
    <w:next w:val="729"/>
    <w:link w:val="917"/>
    <w:uiPriority w:val="9"/>
    <w:unhideWhenUsed/>
    <w:qFormat/>
    <w:pPr>
      <w:contextualSpacing/>
      <w:ind w:firstLine="709"/>
      <w:jc w:val="center"/>
      <w:keepLines/>
      <w:keepNext/>
      <w:spacing w:after="120"/>
      <w:widowControl w:val="off"/>
      <w:outlineLvl w:val="1"/>
    </w:pPr>
    <w:rPr>
      <w:rFonts w:eastAsiaTheme="majorEastAsia" w:cstheme="majorBidi"/>
      <w:b/>
      <w:bCs/>
      <w:caps/>
      <w:color w:val="000000" w:themeColor="text1"/>
      <w:szCs w:val="26"/>
    </w:rPr>
  </w:style>
  <w:style w:type="paragraph" w:styleId="732">
    <w:name w:val="Heading 3"/>
    <w:basedOn w:val="729"/>
    <w:next w:val="729"/>
    <w:link w:val="896"/>
    <w:uiPriority w:val="9"/>
    <w:qFormat/>
    <w:pPr>
      <w:jc w:val="both"/>
      <w:keepNext/>
      <w:outlineLvl w:val="2"/>
    </w:pPr>
  </w:style>
  <w:style w:type="paragraph" w:styleId="733">
    <w:name w:val="Heading 4"/>
    <w:basedOn w:val="729"/>
    <w:next w:val="729"/>
    <w:link w:val="918"/>
    <w:uiPriority w:val="9"/>
    <w:semiHidden/>
    <w:unhideWhenUsed/>
    <w:qFormat/>
    <w:pPr>
      <w:ind w:firstLine="720"/>
      <w:jc w:val="both"/>
      <w:keepLines/>
      <w:keepNext/>
      <w:spacing w:before="200"/>
      <w:widowControl w:val="off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paragraph" w:styleId="734">
    <w:name w:val="Heading 5"/>
    <w:basedOn w:val="729"/>
    <w:next w:val="729"/>
    <w:link w:val="746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</w:rPr>
  </w:style>
  <w:style w:type="paragraph" w:styleId="735">
    <w:name w:val="Heading 6"/>
    <w:basedOn w:val="729"/>
    <w:next w:val="729"/>
    <w:link w:val="74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36">
    <w:name w:val="Heading 7"/>
    <w:basedOn w:val="729"/>
    <w:next w:val="729"/>
    <w:link w:val="74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37">
    <w:name w:val="Heading 8"/>
    <w:basedOn w:val="729"/>
    <w:next w:val="729"/>
    <w:link w:val="74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38">
    <w:name w:val="Heading 9"/>
    <w:basedOn w:val="729"/>
    <w:next w:val="729"/>
    <w:link w:val="75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39" w:default="1">
    <w:name w:val="Default Paragraph Font"/>
    <w:uiPriority w:val="1"/>
    <w:semiHidden/>
    <w:unhideWhenUsed/>
  </w:style>
  <w:style w:type="table" w:styleId="740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41" w:default="1">
    <w:name w:val="No List"/>
    <w:uiPriority w:val="99"/>
    <w:semiHidden/>
    <w:unhideWhenUsed/>
  </w:style>
  <w:style w:type="character" w:styleId="742" w:customStyle="1">
    <w:name w:val="Heading 1 Char"/>
    <w:basedOn w:val="739"/>
    <w:uiPriority w:val="9"/>
    <w:rPr>
      <w:rFonts w:ascii="Arial" w:hAnsi="Arial" w:eastAsia="Arial" w:cs="Arial"/>
      <w:sz w:val="40"/>
      <w:szCs w:val="40"/>
    </w:rPr>
  </w:style>
  <w:style w:type="character" w:styleId="743" w:customStyle="1">
    <w:name w:val="Heading 2 Char"/>
    <w:basedOn w:val="739"/>
    <w:uiPriority w:val="9"/>
    <w:rPr>
      <w:rFonts w:ascii="Arial" w:hAnsi="Arial" w:eastAsia="Arial" w:cs="Arial"/>
      <w:sz w:val="34"/>
    </w:rPr>
  </w:style>
  <w:style w:type="character" w:styleId="744" w:customStyle="1">
    <w:name w:val="Heading 3 Char"/>
    <w:basedOn w:val="739"/>
    <w:uiPriority w:val="9"/>
    <w:rPr>
      <w:rFonts w:ascii="Arial" w:hAnsi="Arial" w:eastAsia="Arial" w:cs="Arial"/>
      <w:sz w:val="30"/>
      <w:szCs w:val="30"/>
    </w:rPr>
  </w:style>
  <w:style w:type="character" w:styleId="745" w:customStyle="1">
    <w:name w:val="Heading 4 Char"/>
    <w:basedOn w:val="739"/>
    <w:uiPriority w:val="9"/>
    <w:rPr>
      <w:rFonts w:ascii="Arial" w:hAnsi="Arial" w:eastAsia="Arial" w:cs="Arial"/>
      <w:b/>
      <w:bCs/>
      <w:sz w:val="26"/>
      <w:szCs w:val="26"/>
    </w:rPr>
  </w:style>
  <w:style w:type="character" w:styleId="746" w:customStyle="1">
    <w:name w:val="Заголовок 5 Знак"/>
    <w:basedOn w:val="739"/>
    <w:link w:val="734"/>
    <w:uiPriority w:val="9"/>
    <w:rPr>
      <w:rFonts w:ascii="Arial" w:hAnsi="Arial" w:eastAsia="Arial" w:cs="Arial"/>
      <w:b/>
      <w:bCs/>
      <w:sz w:val="24"/>
      <w:szCs w:val="24"/>
    </w:rPr>
  </w:style>
  <w:style w:type="character" w:styleId="747" w:customStyle="1">
    <w:name w:val="Заголовок 6 Знак"/>
    <w:basedOn w:val="739"/>
    <w:link w:val="735"/>
    <w:uiPriority w:val="9"/>
    <w:rPr>
      <w:rFonts w:ascii="Arial" w:hAnsi="Arial" w:eastAsia="Arial" w:cs="Arial"/>
      <w:b/>
      <w:bCs/>
      <w:sz w:val="22"/>
      <w:szCs w:val="22"/>
    </w:rPr>
  </w:style>
  <w:style w:type="character" w:styleId="748" w:customStyle="1">
    <w:name w:val="Заголовок 7 Знак"/>
    <w:basedOn w:val="739"/>
    <w:link w:val="73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49" w:customStyle="1">
    <w:name w:val="Заголовок 8 Знак"/>
    <w:basedOn w:val="739"/>
    <w:link w:val="737"/>
    <w:uiPriority w:val="9"/>
    <w:rPr>
      <w:rFonts w:ascii="Arial" w:hAnsi="Arial" w:eastAsia="Arial" w:cs="Arial"/>
      <w:i/>
      <w:iCs/>
      <w:sz w:val="22"/>
      <w:szCs w:val="22"/>
    </w:rPr>
  </w:style>
  <w:style w:type="character" w:styleId="750" w:customStyle="1">
    <w:name w:val="Заголовок 9 Знак"/>
    <w:basedOn w:val="739"/>
    <w:link w:val="738"/>
    <w:uiPriority w:val="9"/>
    <w:rPr>
      <w:rFonts w:ascii="Arial" w:hAnsi="Arial" w:eastAsia="Arial" w:cs="Arial"/>
      <w:i/>
      <w:iCs/>
      <w:sz w:val="21"/>
      <w:szCs w:val="21"/>
    </w:rPr>
  </w:style>
  <w:style w:type="paragraph" w:styleId="751">
    <w:name w:val="Title"/>
    <w:basedOn w:val="729"/>
    <w:next w:val="729"/>
    <w:link w:val="752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52" w:customStyle="1">
    <w:name w:val="Заголовок Знак"/>
    <w:basedOn w:val="739"/>
    <w:link w:val="751"/>
    <w:uiPriority w:val="10"/>
    <w:rPr>
      <w:sz w:val="48"/>
      <w:szCs w:val="48"/>
    </w:rPr>
  </w:style>
  <w:style w:type="paragraph" w:styleId="753">
    <w:name w:val="Subtitle"/>
    <w:basedOn w:val="729"/>
    <w:next w:val="729"/>
    <w:link w:val="754"/>
    <w:uiPriority w:val="11"/>
    <w:qFormat/>
    <w:pPr>
      <w:spacing w:before="200" w:after="200"/>
    </w:pPr>
  </w:style>
  <w:style w:type="character" w:styleId="754" w:customStyle="1">
    <w:name w:val="Подзаголовок Знак"/>
    <w:basedOn w:val="739"/>
    <w:link w:val="753"/>
    <w:uiPriority w:val="11"/>
    <w:rPr>
      <w:sz w:val="24"/>
      <w:szCs w:val="24"/>
    </w:rPr>
  </w:style>
  <w:style w:type="paragraph" w:styleId="755">
    <w:name w:val="Quote"/>
    <w:basedOn w:val="729"/>
    <w:next w:val="729"/>
    <w:link w:val="756"/>
    <w:uiPriority w:val="29"/>
    <w:qFormat/>
    <w:pPr>
      <w:ind w:left="720" w:right="720"/>
    </w:pPr>
    <w:rPr>
      <w:i/>
    </w:rPr>
  </w:style>
  <w:style w:type="character" w:styleId="756" w:customStyle="1">
    <w:name w:val="Цитата 2 Знак"/>
    <w:link w:val="755"/>
    <w:uiPriority w:val="29"/>
    <w:rPr>
      <w:i/>
    </w:rPr>
  </w:style>
  <w:style w:type="paragraph" w:styleId="757">
    <w:name w:val="Intense Quote"/>
    <w:basedOn w:val="729"/>
    <w:next w:val="729"/>
    <w:link w:val="758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58" w:customStyle="1">
    <w:name w:val="Выделенная цитата Знак"/>
    <w:link w:val="757"/>
    <w:uiPriority w:val="30"/>
    <w:rPr>
      <w:i/>
    </w:rPr>
  </w:style>
  <w:style w:type="character" w:styleId="759" w:customStyle="1">
    <w:name w:val="Header Char"/>
    <w:basedOn w:val="739"/>
    <w:uiPriority w:val="99"/>
  </w:style>
  <w:style w:type="character" w:styleId="760" w:customStyle="1">
    <w:name w:val="Footer Char"/>
    <w:basedOn w:val="739"/>
    <w:uiPriority w:val="99"/>
  </w:style>
  <w:style w:type="character" w:styleId="761" w:customStyle="1">
    <w:name w:val="Caption Char"/>
    <w:uiPriority w:val="99"/>
  </w:style>
  <w:style w:type="table" w:styleId="762" w:customStyle="1">
    <w:name w:val="Table Grid Light"/>
    <w:basedOn w:val="740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63">
    <w:name w:val="Plain Table 1"/>
    <w:basedOn w:val="740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64">
    <w:name w:val="Plain Table 2"/>
    <w:basedOn w:val="740"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65">
    <w:name w:val="Plain Table 3"/>
    <w:basedOn w:val="740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66">
    <w:name w:val="Plain Table 4"/>
    <w:basedOn w:val="740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Plain Table 5"/>
    <w:basedOn w:val="740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68">
    <w:name w:val="Grid Table 1 Light"/>
    <w:basedOn w:val="740"/>
    <w:uiPriority w:val="99"/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 w:customStyle="1">
    <w:name w:val="Grid Table 1 Light - Accent 1"/>
    <w:basedOn w:val="740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 w:customStyle="1">
    <w:name w:val="Grid Table 1 Light - Accent 2"/>
    <w:basedOn w:val="740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 w:customStyle="1">
    <w:name w:val="Grid Table 1 Light - Accent 3"/>
    <w:basedOn w:val="740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 w:customStyle="1">
    <w:name w:val="Grid Table 1 Light - Accent 4"/>
    <w:basedOn w:val="740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 w:customStyle="1">
    <w:name w:val="Grid Table 1 Light - Accent 5"/>
    <w:basedOn w:val="740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 w:customStyle="1">
    <w:name w:val="Grid Table 1 Light - Accent 6"/>
    <w:basedOn w:val="740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Grid Table 2"/>
    <w:basedOn w:val="740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 w:customStyle="1">
    <w:name w:val="Grid Table 2 - Accent 1"/>
    <w:basedOn w:val="740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 w:customStyle="1">
    <w:name w:val="Grid Table 2 - Accent 2"/>
    <w:basedOn w:val="740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 w:customStyle="1">
    <w:name w:val="Grid Table 2 - Accent 3"/>
    <w:basedOn w:val="740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 w:customStyle="1">
    <w:name w:val="Grid Table 2 - Accent 4"/>
    <w:basedOn w:val="740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 w:customStyle="1">
    <w:name w:val="Grid Table 2 - Accent 5"/>
    <w:basedOn w:val="740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 w:customStyle="1">
    <w:name w:val="Grid Table 2 - Accent 6"/>
    <w:basedOn w:val="740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Grid Table 3"/>
    <w:basedOn w:val="740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 w:customStyle="1">
    <w:name w:val="Grid Table 3 - Accent 1"/>
    <w:basedOn w:val="740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 w:customStyle="1">
    <w:name w:val="Grid Table 3 - Accent 2"/>
    <w:basedOn w:val="740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 w:customStyle="1">
    <w:name w:val="Grid Table 3 - Accent 3"/>
    <w:basedOn w:val="740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 w:customStyle="1">
    <w:name w:val="Grid Table 3 - Accent 4"/>
    <w:basedOn w:val="740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 w:customStyle="1">
    <w:name w:val="Grid Table 3 - Accent 5"/>
    <w:basedOn w:val="740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 w:customStyle="1">
    <w:name w:val="Grid Table 3 - Accent 6"/>
    <w:basedOn w:val="740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Grid Table 4"/>
    <w:basedOn w:val="740"/>
    <w:uiPriority w:val="59"/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90" w:customStyle="1">
    <w:name w:val="Grid Table 4 - Accent 1"/>
    <w:basedOn w:val="740"/>
    <w:uiPriority w:val="5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91" w:customStyle="1">
    <w:name w:val="Grid Table 4 - Accent 2"/>
    <w:basedOn w:val="740"/>
    <w:uiPriority w:val="5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92" w:customStyle="1">
    <w:name w:val="Grid Table 4 - Accent 3"/>
    <w:basedOn w:val="740"/>
    <w:uiPriority w:val="5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93" w:customStyle="1">
    <w:name w:val="Grid Table 4 - Accent 4"/>
    <w:basedOn w:val="740"/>
    <w:uiPriority w:val="5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94" w:customStyle="1">
    <w:name w:val="Grid Table 4 - Accent 5"/>
    <w:basedOn w:val="740"/>
    <w:uiPriority w:val="5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95" w:customStyle="1">
    <w:name w:val="Grid Table 4 - Accent 6"/>
    <w:basedOn w:val="740"/>
    <w:uiPriority w:val="5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96">
    <w:name w:val="Grid Table 5 Dark"/>
    <w:basedOn w:val="740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97" w:customStyle="1">
    <w:name w:val="Grid Table 5 Dark- Accent 1"/>
    <w:basedOn w:val="740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98" w:customStyle="1">
    <w:name w:val="Grid Table 5 Dark - Accent 2"/>
    <w:basedOn w:val="740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99" w:customStyle="1">
    <w:name w:val="Grid Table 5 Dark - Accent 3"/>
    <w:basedOn w:val="740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800" w:customStyle="1">
    <w:name w:val="Grid Table 5 Dark- Accent 4"/>
    <w:basedOn w:val="740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801" w:customStyle="1">
    <w:name w:val="Grid Table 5 Dark - Accent 5"/>
    <w:basedOn w:val="740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802" w:customStyle="1">
    <w:name w:val="Grid Table 5 Dark - Accent 6"/>
    <w:basedOn w:val="740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803">
    <w:name w:val="Grid Table 6 Colorful"/>
    <w:basedOn w:val="740"/>
    <w:uiPriority w:val="99"/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804" w:customStyle="1">
    <w:name w:val="Grid Table 6 Colorful - Accent 1"/>
    <w:basedOn w:val="740"/>
    <w:uiPriority w:val="99"/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805" w:customStyle="1">
    <w:name w:val="Grid Table 6 Colorful - Accent 2"/>
    <w:basedOn w:val="740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806" w:customStyle="1">
    <w:name w:val="Grid Table 6 Colorful - Accent 3"/>
    <w:basedOn w:val="740"/>
    <w:uiPriority w:val="99"/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807" w:customStyle="1">
    <w:name w:val="Grid Table 6 Colorful - Accent 4"/>
    <w:basedOn w:val="740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808" w:customStyle="1">
    <w:name w:val="Grid Table 6 Colorful - Accent 5"/>
    <w:basedOn w:val="740"/>
    <w:uiPriority w:val="99"/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09" w:customStyle="1">
    <w:name w:val="Grid Table 6 Colorful - Accent 6"/>
    <w:basedOn w:val="740"/>
    <w:uiPriority w:val="99"/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10">
    <w:name w:val="Grid Table 7 Colorful"/>
    <w:basedOn w:val="740"/>
    <w:uiPriority w:val="99"/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1" w:customStyle="1">
    <w:name w:val="Grid Table 7 Colorful - Accent 1"/>
    <w:basedOn w:val="740"/>
    <w:uiPriority w:val="99"/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A6BFDD" w:themeColor="accen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A6BFDD" w:themeColor="accen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2" w:customStyle="1">
    <w:name w:val="Grid Table 7 Colorful - Accent 2"/>
    <w:basedOn w:val="740"/>
    <w:uiPriority w:val="99"/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3" w:customStyle="1">
    <w:name w:val="Grid Table 7 Colorful - Accent 3"/>
    <w:basedOn w:val="740"/>
    <w:uiPriority w:val="99"/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ABB59" w:themeColor="accent3" w:themeTint="FE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0" w:space="0"/>
          <w:left w:val="single" w:color="9ABB59" w:themeColor="accent3" w:themeTint="FE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4" w:customStyle="1">
    <w:name w:val="Grid Table 7 Colorful - Accent 4"/>
    <w:basedOn w:val="740"/>
    <w:uiPriority w:val="99"/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5" w:customStyle="1">
    <w:name w:val="Grid Table 7 Colorful - Accent 5"/>
    <w:basedOn w:val="740"/>
    <w:uiPriority w:val="99"/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9D0DE" w:themeColor="accent5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0" w:space="0"/>
          <w:left w:val="single" w:color="99D0DE" w:themeColor="accent5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6" w:customStyle="1">
    <w:name w:val="Grid Table 7 Colorful - Accent 6"/>
    <w:basedOn w:val="740"/>
    <w:uiPriority w:val="99"/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396" w:themeColor="accent6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0" w:space="0"/>
          <w:left w:val="single" w:color="FAC396" w:themeColor="accent6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7">
    <w:name w:val="List Table 1 Light"/>
    <w:basedOn w:val="740"/>
    <w:uiPriority w:val="99"/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8" w:customStyle="1">
    <w:name w:val="List Table 1 Light - Accent 1"/>
    <w:basedOn w:val="740"/>
    <w:uiPriority w:val="99"/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9" w:customStyle="1">
    <w:name w:val="List Table 1 Light - Accent 2"/>
    <w:basedOn w:val="740"/>
    <w:uiPriority w:val="99"/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0" w:customStyle="1">
    <w:name w:val="List Table 1 Light - Accent 3"/>
    <w:basedOn w:val="740"/>
    <w:uiPriority w:val="99"/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1" w:customStyle="1">
    <w:name w:val="List Table 1 Light - Accent 4"/>
    <w:basedOn w:val="740"/>
    <w:uiPriority w:val="99"/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2" w:customStyle="1">
    <w:name w:val="List Table 1 Light - Accent 5"/>
    <w:basedOn w:val="740"/>
    <w:uiPriority w:val="99"/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3" w:customStyle="1">
    <w:name w:val="List Table 1 Light - Accent 6"/>
    <w:basedOn w:val="740"/>
    <w:uiPriority w:val="99"/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4">
    <w:name w:val="List Table 2"/>
    <w:basedOn w:val="740"/>
    <w:uiPriority w:val="99"/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25" w:customStyle="1">
    <w:name w:val="List Table 2 - Accent 1"/>
    <w:basedOn w:val="740"/>
    <w:uiPriority w:val="99"/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826" w:customStyle="1">
    <w:name w:val="List Table 2 - Accent 2"/>
    <w:basedOn w:val="740"/>
    <w:uiPriority w:val="99"/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827" w:customStyle="1">
    <w:name w:val="List Table 2 - Accent 3"/>
    <w:basedOn w:val="740"/>
    <w:uiPriority w:val="99"/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828" w:customStyle="1">
    <w:name w:val="List Table 2 - Accent 4"/>
    <w:basedOn w:val="740"/>
    <w:uiPriority w:val="99"/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829" w:customStyle="1">
    <w:name w:val="List Table 2 - Accent 5"/>
    <w:basedOn w:val="740"/>
    <w:uiPriority w:val="99"/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830" w:customStyle="1">
    <w:name w:val="List Table 2 - Accent 6"/>
    <w:basedOn w:val="740"/>
    <w:uiPriority w:val="99"/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831">
    <w:name w:val="List Table 3"/>
    <w:basedOn w:val="740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2" w:customStyle="1">
    <w:name w:val="List Table 3 - Accent 1"/>
    <w:basedOn w:val="740"/>
    <w:uiPriority w:val="99"/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3" w:customStyle="1">
    <w:name w:val="List Table 3 - Accent 2"/>
    <w:basedOn w:val="740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4" w:customStyle="1">
    <w:name w:val="List Table 3 - Accent 3"/>
    <w:basedOn w:val="740"/>
    <w:uiPriority w:val="99"/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5" w:customStyle="1">
    <w:name w:val="List Table 3 - Accent 4"/>
    <w:basedOn w:val="740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6" w:customStyle="1">
    <w:name w:val="List Table 3 - Accent 5"/>
    <w:basedOn w:val="740"/>
    <w:uiPriority w:val="99"/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7" w:customStyle="1">
    <w:name w:val="List Table 3 - Accent 6"/>
    <w:basedOn w:val="740"/>
    <w:uiPriority w:val="99"/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8">
    <w:name w:val="List Table 4"/>
    <w:basedOn w:val="740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9" w:customStyle="1">
    <w:name w:val="List Table 4 - Accent 1"/>
    <w:basedOn w:val="740"/>
    <w:uiPriority w:val="9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0" w:customStyle="1">
    <w:name w:val="List Table 4 - Accent 2"/>
    <w:basedOn w:val="740"/>
    <w:uiPriority w:val="9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1" w:customStyle="1">
    <w:name w:val="List Table 4 - Accent 3"/>
    <w:basedOn w:val="740"/>
    <w:uiPriority w:val="9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2" w:customStyle="1">
    <w:name w:val="List Table 4 - Accent 4"/>
    <w:basedOn w:val="740"/>
    <w:uiPriority w:val="9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3" w:customStyle="1">
    <w:name w:val="List Table 4 - Accent 5"/>
    <w:basedOn w:val="740"/>
    <w:uiPriority w:val="9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4" w:customStyle="1">
    <w:name w:val="List Table 4 - Accent 6"/>
    <w:basedOn w:val="740"/>
    <w:uiPriority w:val="9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5">
    <w:name w:val="List Table 5 Dark"/>
    <w:basedOn w:val="740"/>
    <w:uiPriority w:val="99"/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6" w:customStyle="1">
    <w:name w:val="List Table 5 Dark - Accent 1"/>
    <w:basedOn w:val="740"/>
    <w:uiPriority w:val="99"/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7" w:customStyle="1">
    <w:name w:val="List Table 5 Dark - Accent 2"/>
    <w:basedOn w:val="740"/>
    <w:uiPriority w:val="99"/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8" w:customStyle="1">
    <w:name w:val="List Table 5 Dark - Accent 3"/>
    <w:basedOn w:val="740"/>
    <w:uiPriority w:val="99"/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9" w:customStyle="1">
    <w:name w:val="List Table 5 Dark - Accent 4"/>
    <w:basedOn w:val="740"/>
    <w:uiPriority w:val="99"/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50" w:customStyle="1">
    <w:name w:val="List Table 5 Dark - Accent 5"/>
    <w:basedOn w:val="740"/>
    <w:uiPriority w:val="99"/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51" w:customStyle="1">
    <w:name w:val="List Table 5 Dark - Accent 6"/>
    <w:basedOn w:val="740"/>
    <w:uiPriority w:val="99"/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52">
    <w:name w:val="List Table 6 Colorful"/>
    <w:basedOn w:val="740"/>
    <w:uiPriority w:val="99"/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53" w:customStyle="1">
    <w:name w:val="List Table 6 Colorful - Accent 1"/>
    <w:basedOn w:val="740"/>
    <w:uiPriority w:val="99"/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54" w:customStyle="1">
    <w:name w:val="List Table 6 Colorful - Accent 2"/>
    <w:basedOn w:val="740"/>
    <w:uiPriority w:val="99"/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55" w:customStyle="1">
    <w:name w:val="List Table 6 Colorful - Accent 3"/>
    <w:basedOn w:val="740"/>
    <w:uiPriority w:val="99"/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56" w:customStyle="1">
    <w:name w:val="List Table 6 Colorful - Accent 4"/>
    <w:basedOn w:val="740"/>
    <w:uiPriority w:val="99"/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57" w:customStyle="1">
    <w:name w:val="List Table 6 Colorful - Accent 5"/>
    <w:basedOn w:val="740"/>
    <w:uiPriority w:val="99"/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58" w:customStyle="1">
    <w:name w:val="List Table 6 Colorful - Accent 6"/>
    <w:basedOn w:val="740"/>
    <w:uiPriority w:val="99"/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59">
    <w:name w:val="List Table 7 Colorful"/>
    <w:basedOn w:val="740"/>
    <w:uiPriority w:val="99"/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60" w:customStyle="1">
    <w:name w:val="List Table 7 Colorful - Accent 1"/>
    <w:basedOn w:val="740"/>
    <w:uiPriority w:val="99"/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4F81BD" w:themeColor="accent1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0" w:space="0"/>
          <w:left w:val="single" w:color="4F81BD" w:themeColor="accen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61" w:customStyle="1">
    <w:name w:val="List Table 7 Colorful - Accent 2"/>
    <w:basedOn w:val="740"/>
    <w:uiPriority w:val="99"/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62" w:customStyle="1">
    <w:name w:val="List Table 7 Colorful - Accent 3"/>
    <w:basedOn w:val="740"/>
    <w:uiPriority w:val="99"/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C3D69B" w:themeColor="accent3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C3D69B" w:themeColor="accent3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63" w:customStyle="1">
    <w:name w:val="List Table 7 Colorful - Accent 4"/>
    <w:basedOn w:val="740"/>
    <w:uiPriority w:val="99"/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64" w:customStyle="1">
    <w:name w:val="List Table 7 Colorful - Accent 5"/>
    <w:basedOn w:val="740"/>
    <w:uiPriority w:val="99"/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2CCDC" w:themeColor="accent5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92CCDC" w:themeColor="accent5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65" w:customStyle="1">
    <w:name w:val="List Table 7 Colorful - Accent 6"/>
    <w:basedOn w:val="740"/>
    <w:uiPriority w:val="99"/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090" w:themeColor="accent6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FAC090" w:themeColor="accent6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66" w:customStyle="1">
    <w:name w:val="Lined - Accent"/>
    <w:basedOn w:val="740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67" w:customStyle="1">
    <w:name w:val="Lined - Accent 1"/>
    <w:basedOn w:val="740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68" w:customStyle="1">
    <w:name w:val="Lined - Accent 2"/>
    <w:basedOn w:val="740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69" w:customStyle="1">
    <w:name w:val="Lined - Accent 3"/>
    <w:basedOn w:val="740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70" w:customStyle="1">
    <w:name w:val="Lined - Accent 4"/>
    <w:basedOn w:val="740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71" w:customStyle="1">
    <w:name w:val="Lined - Accent 5"/>
    <w:basedOn w:val="740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72" w:customStyle="1">
    <w:name w:val="Lined - Accent 6"/>
    <w:basedOn w:val="740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73" w:customStyle="1">
    <w:name w:val="Bordered &amp; Lined - Accent"/>
    <w:basedOn w:val="740"/>
    <w:uiPriority w:val="99"/>
    <w:rPr>
      <w:color w:val="404040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74" w:customStyle="1">
    <w:name w:val="Bordered &amp; Lined - Accent 1"/>
    <w:basedOn w:val="740"/>
    <w:uiPriority w:val="99"/>
    <w:rPr>
      <w:color w:val="404040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75" w:customStyle="1">
    <w:name w:val="Bordered &amp; Lined - Accent 2"/>
    <w:basedOn w:val="740"/>
    <w:uiPriority w:val="99"/>
    <w:rPr>
      <w:color w:val="404040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76" w:customStyle="1">
    <w:name w:val="Bordered &amp; Lined - Accent 3"/>
    <w:basedOn w:val="740"/>
    <w:uiPriority w:val="99"/>
    <w:rPr>
      <w:color w:val="404040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77" w:customStyle="1">
    <w:name w:val="Bordered &amp; Lined - Accent 4"/>
    <w:basedOn w:val="740"/>
    <w:uiPriority w:val="99"/>
    <w:rPr>
      <w:color w:val="404040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78" w:customStyle="1">
    <w:name w:val="Bordered &amp; Lined - Accent 5"/>
    <w:basedOn w:val="740"/>
    <w:uiPriority w:val="99"/>
    <w:rPr>
      <w:color w:val="404040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79" w:customStyle="1">
    <w:name w:val="Bordered &amp; Lined - Accent 6"/>
    <w:basedOn w:val="740"/>
    <w:uiPriority w:val="99"/>
    <w:rPr>
      <w:color w:val="404040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80" w:customStyle="1">
    <w:name w:val="Bordered"/>
    <w:basedOn w:val="740"/>
    <w:uiPriority w:val="99"/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81" w:customStyle="1">
    <w:name w:val="Bordered - Accent 1"/>
    <w:basedOn w:val="740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82" w:customStyle="1">
    <w:name w:val="Bordered - Accent 2"/>
    <w:basedOn w:val="740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83" w:customStyle="1">
    <w:name w:val="Bordered - Accent 3"/>
    <w:basedOn w:val="740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84" w:customStyle="1">
    <w:name w:val="Bordered - Accent 4"/>
    <w:basedOn w:val="740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85" w:customStyle="1">
    <w:name w:val="Bordered - Accent 5"/>
    <w:basedOn w:val="740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86" w:customStyle="1">
    <w:name w:val="Bordered - Accent 6"/>
    <w:basedOn w:val="740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paragraph" w:styleId="887">
    <w:name w:val="footnote text"/>
    <w:basedOn w:val="729"/>
    <w:link w:val="888"/>
    <w:uiPriority w:val="99"/>
    <w:semiHidden/>
    <w:unhideWhenUsed/>
    <w:pPr>
      <w:spacing w:after="40"/>
    </w:pPr>
    <w:rPr>
      <w:sz w:val="18"/>
    </w:rPr>
  </w:style>
  <w:style w:type="character" w:styleId="888" w:customStyle="1">
    <w:name w:val="Текст сноски Знак"/>
    <w:link w:val="887"/>
    <w:uiPriority w:val="99"/>
    <w:rPr>
      <w:sz w:val="18"/>
    </w:rPr>
  </w:style>
  <w:style w:type="character" w:styleId="889">
    <w:name w:val="footnote reference"/>
    <w:basedOn w:val="739"/>
    <w:uiPriority w:val="99"/>
    <w:unhideWhenUsed/>
    <w:rPr>
      <w:vertAlign w:val="superscript"/>
    </w:rPr>
  </w:style>
  <w:style w:type="paragraph" w:styleId="890">
    <w:name w:val="endnote text"/>
    <w:basedOn w:val="729"/>
    <w:link w:val="891"/>
    <w:uiPriority w:val="99"/>
    <w:semiHidden/>
    <w:unhideWhenUsed/>
    <w:rPr>
      <w:sz w:val="20"/>
    </w:rPr>
  </w:style>
  <w:style w:type="character" w:styleId="891" w:customStyle="1">
    <w:name w:val="Текст концевой сноски Знак"/>
    <w:link w:val="890"/>
    <w:uiPriority w:val="99"/>
    <w:rPr>
      <w:sz w:val="20"/>
    </w:rPr>
  </w:style>
  <w:style w:type="character" w:styleId="892">
    <w:name w:val="endnote reference"/>
    <w:basedOn w:val="739"/>
    <w:uiPriority w:val="99"/>
    <w:semiHidden/>
    <w:unhideWhenUsed/>
    <w:rPr>
      <w:vertAlign w:val="superscript"/>
    </w:rPr>
  </w:style>
  <w:style w:type="paragraph" w:styleId="893">
    <w:name w:val="table of figures"/>
    <w:basedOn w:val="729"/>
    <w:next w:val="729"/>
    <w:uiPriority w:val="99"/>
    <w:unhideWhenUsed/>
  </w:style>
  <w:style w:type="paragraph" w:styleId="894">
    <w:name w:val="Body Text"/>
    <w:basedOn w:val="729"/>
    <w:link w:val="895"/>
    <w:uiPriority w:val="99"/>
    <w:qFormat/>
    <w:pPr>
      <w:jc w:val="both"/>
    </w:pPr>
    <w:rPr>
      <w:sz w:val="22"/>
    </w:rPr>
  </w:style>
  <w:style w:type="character" w:styleId="895" w:customStyle="1">
    <w:name w:val="Основной текст Знак"/>
    <w:link w:val="894"/>
    <w:uiPriority w:val="1"/>
    <w:rPr>
      <w:sz w:val="22"/>
      <w:lang w:val="ru-RU" w:eastAsia="ru-RU" w:bidi="ar-SA"/>
    </w:rPr>
  </w:style>
  <w:style w:type="character" w:styleId="896" w:customStyle="1">
    <w:name w:val="Заголовок 3 Знак"/>
    <w:link w:val="732"/>
    <w:uiPriority w:val="9"/>
    <w:rPr>
      <w:sz w:val="24"/>
      <w:lang w:val="ru-RU" w:eastAsia="ru-RU" w:bidi="ar-SA"/>
    </w:rPr>
  </w:style>
  <w:style w:type="paragraph" w:styleId="897">
    <w:name w:val="Balloon Text"/>
    <w:basedOn w:val="729"/>
    <w:link w:val="920"/>
    <w:uiPriority w:val="99"/>
    <w:semiHidden/>
    <w:rPr>
      <w:rFonts w:ascii="Tahoma" w:hAnsi="Tahoma" w:cs="Tahoma"/>
      <w:sz w:val="16"/>
      <w:szCs w:val="16"/>
    </w:rPr>
  </w:style>
  <w:style w:type="character" w:styleId="898" w:customStyle="1">
    <w:name w:val="Заголовок №4 (3) + Интервал 3 pt"/>
    <w:rPr>
      <w:rFonts w:ascii="Times New Roman" w:hAnsi="Times New Roman" w:cs="Times New Roman"/>
      <w:b/>
      <w:bCs/>
      <w:spacing w:val="70"/>
      <w:sz w:val="27"/>
      <w:szCs w:val="27"/>
    </w:rPr>
  </w:style>
  <w:style w:type="paragraph" w:styleId="899" w:customStyle="1">
    <w:name w:val="Без интервала1"/>
    <w:rPr>
      <w:rFonts w:ascii="Tahoma" w:hAnsi="Tahoma" w:eastAsia="Calibri" w:cs="Tahoma"/>
      <w:color w:val="000000"/>
      <w:sz w:val="24"/>
      <w:szCs w:val="24"/>
    </w:rPr>
  </w:style>
  <w:style w:type="character" w:styleId="900" w:customStyle="1">
    <w:name w:val="st"/>
    <w:rPr>
      <w:rFonts w:cs="Times New Roman"/>
    </w:rPr>
  </w:style>
  <w:style w:type="character" w:styleId="901" w:customStyle="1">
    <w:name w:val="Знак Знак1"/>
    <w:rPr>
      <w:sz w:val="24"/>
      <w:lang w:val="ru-RU" w:eastAsia="ru-RU" w:bidi="ar-SA"/>
    </w:rPr>
  </w:style>
  <w:style w:type="paragraph" w:styleId="902" w:customStyle="1">
    <w:name w:val="ConsPlusNormal"/>
    <w:rPr>
      <w:rFonts w:ascii="Arial" w:hAnsi="Arial" w:cs="Arial"/>
    </w:rPr>
  </w:style>
  <w:style w:type="paragraph" w:styleId="903">
    <w:name w:val="Normal (Web)"/>
    <w:basedOn w:val="729"/>
    <w:unhideWhenUsed/>
    <w:pPr>
      <w:spacing w:before="100" w:beforeAutospacing="1" w:after="100" w:afterAutospacing="1"/>
    </w:pPr>
  </w:style>
  <w:style w:type="paragraph" w:styleId="904">
    <w:name w:val="Footer"/>
    <w:basedOn w:val="729"/>
    <w:link w:val="905"/>
    <w:uiPriority w:val="99"/>
    <w:pPr>
      <w:spacing w:after="200" w:line="276" w:lineRule="auto"/>
      <w:tabs>
        <w:tab w:val="center" w:pos="4677" w:leader="none"/>
        <w:tab w:val="right" w:pos="9355" w:leader="none"/>
      </w:tabs>
    </w:pPr>
    <w:rPr>
      <w:rFonts w:ascii="Calibri" w:hAnsi="Calibri" w:cs="Calibri"/>
      <w:sz w:val="22"/>
      <w:szCs w:val="22"/>
    </w:rPr>
  </w:style>
  <w:style w:type="character" w:styleId="905" w:customStyle="1">
    <w:name w:val="Нижний колонтитул Знак"/>
    <w:link w:val="904"/>
    <w:uiPriority w:val="99"/>
    <w:rPr>
      <w:rFonts w:ascii="Calibri" w:hAnsi="Calibri" w:cs="Calibri"/>
      <w:sz w:val="22"/>
      <w:szCs w:val="22"/>
      <w:lang w:val="ru-RU" w:eastAsia="ru-RU" w:bidi="ar-SA"/>
    </w:rPr>
  </w:style>
  <w:style w:type="character" w:styleId="906">
    <w:name w:val="Strong"/>
    <w:uiPriority w:val="22"/>
    <w:qFormat/>
    <w:rPr>
      <w:b/>
      <w:bCs/>
    </w:rPr>
  </w:style>
  <w:style w:type="character" w:styleId="907">
    <w:name w:val="page number"/>
    <w:basedOn w:val="739"/>
  </w:style>
  <w:style w:type="paragraph" w:styleId="908" w:customStyle="1">
    <w:name w:val="Абзац списка1"/>
    <w:basedOn w:val="729"/>
    <w:uiPriority w:val="1"/>
    <w:qFormat/>
    <w:pPr>
      <w:ind w:left="720"/>
    </w:pPr>
    <w:rPr>
      <w:rFonts w:eastAsia="Calibri"/>
    </w:rPr>
  </w:style>
  <w:style w:type="paragraph" w:styleId="909" w:customStyle="1">
    <w:name w:val="ConsTitle"/>
    <w:pPr>
      <w:ind w:right="19772"/>
      <w:widowControl w:val="off"/>
    </w:pPr>
    <w:rPr>
      <w:rFonts w:ascii="Arial" w:hAnsi="Arial" w:cs="Arial"/>
      <w:b/>
      <w:bCs/>
    </w:rPr>
  </w:style>
  <w:style w:type="paragraph" w:styleId="910">
    <w:name w:val="Header"/>
    <w:basedOn w:val="729"/>
    <w:link w:val="911"/>
    <w:uiPriority w:val="99"/>
    <w:pPr>
      <w:tabs>
        <w:tab w:val="center" w:pos="4677" w:leader="none"/>
        <w:tab w:val="right" w:pos="9355" w:leader="none"/>
      </w:tabs>
    </w:pPr>
  </w:style>
  <w:style w:type="character" w:styleId="911" w:customStyle="1">
    <w:name w:val="Верхний колонтитул Знак"/>
    <w:link w:val="910"/>
    <w:uiPriority w:val="99"/>
    <w:rPr>
      <w:sz w:val="24"/>
      <w:szCs w:val="24"/>
    </w:rPr>
  </w:style>
  <w:style w:type="paragraph" w:styleId="912">
    <w:name w:val="List Paragraph"/>
    <w:basedOn w:val="729"/>
    <w:uiPriority w:val="34"/>
    <w:qFormat/>
    <w:pPr>
      <w:contextualSpacing/>
      <w:ind w:left="720"/>
      <w:spacing w:after="200" w:line="276" w:lineRule="auto"/>
    </w:pPr>
    <w:rPr>
      <w:rFonts w:ascii="Calibri" w:hAnsi="Calibri" w:eastAsia="Calibri"/>
      <w:sz w:val="22"/>
      <w:szCs w:val="22"/>
      <w:lang w:eastAsia="en-US"/>
    </w:rPr>
  </w:style>
  <w:style w:type="character" w:styleId="913">
    <w:name w:val="Hyperlink"/>
    <w:uiPriority w:val="99"/>
    <w:unhideWhenUsed/>
    <w:rPr>
      <w:color w:val="0000ff"/>
      <w:u w:val="single"/>
    </w:rPr>
  </w:style>
  <w:style w:type="character" w:styleId="914" w:customStyle="1">
    <w:name w:val="button-search"/>
    <w:basedOn w:val="739"/>
  </w:style>
  <w:style w:type="paragraph" w:styleId="915" w:customStyle="1">
    <w:name w:val="ConsNormal"/>
    <w:pPr>
      <w:ind w:right="19772" w:firstLine="720"/>
      <w:widowControl w:val="off"/>
    </w:pPr>
    <w:rPr>
      <w:rFonts w:ascii="Arial" w:hAnsi="Arial" w:cs="Arial"/>
    </w:rPr>
  </w:style>
  <w:style w:type="character" w:styleId="916" w:customStyle="1">
    <w:name w:val="Заголовок 1 Знак"/>
    <w:basedOn w:val="739"/>
    <w:link w:val="730"/>
    <w:uiPriority w:val="1"/>
    <w:rPr>
      <w:b/>
      <w:bCs/>
      <w:sz w:val="28"/>
      <w:szCs w:val="28"/>
      <w:lang w:val="en-US" w:eastAsia="en-US"/>
    </w:rPr>
  </w:style>
  <w:style w:type="character" w:styleId="917" w:customStyle="1">
    <w:name w:val="Заголовок 2 Знак"/>
    <w:basedOn w:val="739"/>
    <w:link w:val="731"/>
    <w:uiPriority w:val="9"/>
    <w:rPr>
      <w:rFonts w:eastAsiaTheme="majorEastAsia" w:cstheme="majorBidi"/>
      <w:b/>
      <w:bCs/>
      <w:caps/>
      <w:color w:val="000000" w:themeColor="text1"/>
      <w:sz w:val="24"/>
      <w:szCs w:val="26"/>
    </w:rPr>
  </w:style>
  <w:style w:type="character" w:styleId="918" w:customStyle="1">
    <w:name w:val="Заголовок 4 Знак"/>
    <w:basedOn w:val="739"/>
    <w:link w:val="733"/>
    <w:uiPriority w:val="9"/>
    <w:semiHidden/>
    <w:rPr>
      <w:rFonts w:asciiTheme="majorHAnsi" w:hAnsiTheme="majorHAnsi" w:eastAsiaTheme="majorEastAsia" w:cstheme="majorBidi"/>
      <w:b/>
      <w:bCs/>
      <w:i/>
      <w:iCs/>
      <w:color w:val="4f81bd" w:themeColor="accent1"/>
      <w:sz w:val="24"/>
      <w:szCs w:val="24"/>
    </w:rPr>
  </w:style>
  <w:style w:type="numbering" w:styleId="919" w:customStyle="1">
    <w:name w:val="Нет списка1"/>
    <w:next w:val="741"/>
    <w:uiPriority w:val="99"/>
    <w:semiHidden/>
    <w:unhideWhenUsed/>
  </w:style>
  <w:style w:type="character" w:styleId="920" w:customStyle="1">
    <w:name w:val="Текст выноски Знак"/>
    <w:basedOn w:val="739"/>
    <w:link w:val="897"/>
    <w:uiPriority w:val="99"/>
    <w:semiHidden/>
    <w:rPr>
      <w:rFonts w:ascii="Tahoma" w:hAnsi="Tahoma" w:cs="Tahoma"/>
      <w:sz w:val="16"/>
      <w:szCs w:val="16"/>
    </w:rPr>
  </w:style>
  <w:style w:type="numbering" w:styleId="921" w:customStyle="1">
    <w:name w:val="Нет списка11"/>
    <w:next w:val="741"/>
    <w:uiPriority w:val="99"/>
    <w:semiHidden/>
    <w:unhideWhenUsed/>
  </w:style>
  <w:style w:type="numbering" w:styleId="922" w:customStyle="1">
    <w:name w:val="Нет списка111"/>
    <w:next w:val="741"/>
    <w:uiPriority w:val="99"/>
    <w:semiHidden/>
    <w:unhideWhenUsed/>
  </w:style>
  <w:style w:type="table" w:styleId="923" w:customStyle="1">
    <w:name w:val="Table Normal"/>
    <w:uiPriority w:val="2"/>
    <w:semiHidden/>
    <w:unhideWhenUsed/>
    <w:qFormat/>
    <w:pPr>
      <w:widowControl w:val="off"/>
    </w:pPr>
    <w:rPr>
      <w:rFonts w:asciiTheme="minorHAnsi" w:hAnsiTheme="minorHAnsi" w:eastAsiaTheme="minorHAnsi" w:cstheme="minorBidi"/>
      <w:sz w:val="22"/>
      <w:szCs w:val="22"/>
      <w:lang w:val="en-US" w:eastAsia="en-US"/>
    </w:rPr>
    <w:tblPr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paragraph" w:styleId="924" w:customStyle="1">
    <w:name w:val="Table Paragraph"/>
    <w:basedOn w:val="729"/>
    <w:uiPriority w:val="1"/>
    <w:qFormat/>
    <w:pPr>
      <w:jc w:val="center"/>
      <w:spacing w:before="8"/>
      <w:widowControl w:val="off"/>
    </w:pPr>
    <w:rPr>
      <w:szCs w:val="22"/>
      <w:lang w:val="en-US" w:eastAsia="en-US"/>
    </w:rPr>
  </w:style>
  <w:style w:type="table" w:styleId="925">
    <w:name w:val="Table Grid"/>
    <w:basedOn w:val="740"/>
    <w:uiPriority w:val="39"/>
    <w:rPr>
      <w:rFonts w:asciiTheme="minorHAnsi" w:hAnsiTheme="minorHAnsi" w:eastAsiaTheme="minorHAnsi" w:cstheme="minorBidi"/>
      <w:sz w:val="22"/>
      <w:szCs w:val="22"/>
      <w:lang w:eastAsia="en-US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926">
    <w:name w:val="toc 1"/>
    <w:basedOn w:val="729"/>
    <w:uiPriority w:val="39"/>
    <w:qFormat/>
    <w:pPr>
      <w:ind w:left="398"/>
      <w:spacing w:before="180"/>
      <w:widowControl w:val="off"/>
    </w:pPr>
    <w:rPr>
      <w:b/>
      <w:bCs/>
      <w:sz w:val="28"/>
      <w:szCs w:val="28"/>
      <w:lang w:val="en-US" w:eastAsia="en-US"/>
    </w:rPr>
  </w:style>
  <w:style w:type="paragraph" w:styleId="927">
    <w:name w:val="toc 2"/>
    <w:basedOn w:val="729"/>
    <w:uiPriority w:val="39"/>
    <w:qFormat/>
    <w:pPr>
      <w:ind w:left="635" w:firstLine="1"/>
      <w:spacing w:before="120"/>
      <w:widowControl w:val="off"/>
    </w:pPr>
    <w:rPr>
      <w:szCs w:val="22"/>
      <w:lang w:val="en-US" w:eastAsia="en-US"/>
    </w:rPr>
  </w:style>
  <w:style w:type="paragraph" w:styleId="928" w:customStyle="1">
    <w:name w:val="Default"/>
    <w:rPr>
      <w:rFonts w:eastAsiaTheme="minorHAnsi"/>
      <w:color w:val="000000"/>
      <w:sz w:val="24"/>
      <w:szCs w:val="24"/>
      <w:lang w:eastAsia="en-US"/>
    </w:rPr>
  </w:style>
  <w:style w:type="paragraph" w:styleId="929" w:customStyle="1">
    <w:name w:val="Абзац"/>
    <w:basedOn w:val="729"/>
    <w:link w:val="930"/>
    <w:qFormat/>
    <w:pPr>
      <w:ind w:firstLine="709"/>
      <w:jc w:val="both"/>
    </w:pPr>
  </w:style>
  <w:style w:type="character" w:styleId="930" w:customStyle="1">
    <w:name w:val="Абзац Знак"/>
    <w:link w:val="929"/>
    <w:rPr>
      <w:sz w:val="24"/>
      <w:szCs w:val="24"/>
    </w:rPr>
  </w:style>
  <w:style w:type="paragraph" w:styleId="931">
    <w:name w:val="List"/>
    <w:basedOn w:val="729"/>
    <w:link w:val="932"/>
    <w:pPr>
      <w:ind w:left="-425" w:firstLine="567"/>
      <w:jc w:val="both"/>
      <w:spacing w:after="60"/>
    </w:pPr>
  </w:style>
  <w:style w:type="character" w:styleId="932" w:customStyle="1">
    <w:name w:val="Список Знак"/>
    <w:link w:val="931"/>
    <w:rPr>
      <w:sz w:val="24"/>
      <w:szCs w:val="24"/>
    </w:rPr>
  </w:style>
  <w:style w:type="paragraph" w:styleId="933">
    <w:name w:val="Body Text Indent 2"/>
    <w:basedOn w:val="729"/>
    <w:link w:val="934"/>
    <w:uiPriority w:val="99"/>
    <w:unhideWhenUsed/>
    <w:pPr>
      <w:ind w:left="283" w:firstLine="720"/>
      <w:jc w:val="both"/>
      <w:spacing w:after="120" w:line="480" w:lineRule="auto"/>
      <w:widowControl w:val="off"/>
    </w:pPr>
    <w:rPr>
      <w:rFonts w:ascii="Times New Roman CYR" w:hAnsi="Times New Roman CYR" w:cs="Times New Roman CYR" w:eastAsiaTheme="minorEastAsia"/>
    </w:rPr>
  </w:style>
  <w:style w:type="character" w:styleId="934" w:customStyle="1">
    <w:name w:val="Основной текст с отступом 2 Знак"/>
    <w:basedOn w:val="739"/>
    <w:link w:val="933"/>
    <w:uiPriority w:val="99"/>
    <w:rPr>
      <w:rFonts w:ascii="Times New Roman CYR" w:hAnsi="Times New Roman CYR" w:cs="Times New Roman CYR" w:eastAsiaTheme="minorEastAsia"/>
      <w:sz w:val="24"/>
      <w:szCs w:val="24"/>
    </w:rPr>
  </w:style>
  <w:style w:type="paragraph" w:styleId="935">
    <w:name w:val="Revision"/>
    <w:hidden/>
    <w:uiPriority w:val="99"/>
    <w:semiHidden/>
    <w:rPr>
      <w:rFonts w:ascii="Times New Roman CYR" w:hAnsi="Times New Roman CYR" w:cs="Times New Roman CYR" w:eastAsiaTheme="minorEastAsia"/>
      <w:sz w:val="24"/>
      <w:szCs w:val="24"/>
    </w:rPr>
  </w:style>
  <w:style w:type="paragraph" w:styleId="936">
    <w:name w:val="Caption"/>
    <w:basedOn w:val="729"/>
    <w:next w:val="729"/>
    <w:link w:val="937"/>
    <w:qFormat/>
    <w:pPr>
      <w:jc w:val="center"/>
      <w:spacing w:before="120" w:after="120"/>
    </w:pPr>
    <w:rPr>
      <w:b/>
      <w:bCs/>
    </w:rPr>
  </w:style>
  <w:style w:type="character" w:styleId="937" w:customStyle="1">
    <w:name w:val="Название объекта Знак"/>
    <w:link w:val="936"/>
    <w:rPr>
      <w:b/>
      <w:bCs/>
      <w:sz w:val="24"/>
      <w:szCs w:val="24"/>
    </w:rPr>
  </w:style>
  <w:style w:type="paragraph" w:styleId="938" w:customStyle="1">
    <w:name w:val="Название таблицы"/>
    <w:basedOn w:val="936"/>
    <w:pPr>
      <w:jc w:val="left"/>
      <w:keepNext/>
      <w:spacing w:after="0"/>
    </w:pPr>
    <w:rPr>
      <w:sz w:val="22"/>
      <w:szCs w:val="22"/>
    </w:rPr>
  </w:style>
  <w:style w:type="paragraph" w:styleId="939" w:customStyle="1">
    <w:name w:val="Табличный_заголовки"/>
    <w:basedOn w:val="729"/>
    <w:pPr>
      <w:jc w:val="center"/>
      <w:keepLines/>
      <w:keepNext/>
    </w:pPr>
    <w:rPr>
      <w:b/>
      <w:sz w:val="20"/>
    </w:rPr>
  </w:style>
  <w:style w:type="paragraph" w:styleId="940" w:customStyle="1">
    <w:name w:val="Табличный_центр"/>
    <w:basedOn w:val="729"/>
    <w:pPr>
      <w:jc w:val="center"/>
    </w:pPr>
    <w:rPr>
      <w:szCs w:val="22"/>
    </w:rPr>
  </w:style>
  <w:style w:type="paragraph" w:styleId="941" w:customStyle="1">
    <w:name w:val="Список 1)"/>
    <w:basedOn w:val="729"/>
    <w:pPr>
      <w:ind w:firstLine="567"/>
      <w:jc w:val="both"/>
      <w:spacing w:after="60"/>
    </w:pPr>
  </w:style>
  <w:style w:type="paragraph" w:styleId="942" w:customStyle="1">
    <w:name w:val="Табличный_слева"/>
    <w:basedOn w:val="729"/>
    <w:rPr>
      <w:szCs w:val="22"/>
    </w:rPr>
  </w:style>
  <w:style w:type="character" w:styleId="943">
    <w:name w:val="Book Title"/>
    <w:uiPriority w:val="33"/>
    <w:qFormat/>
    <w:rPr>
      <w:rFonts w:ascii="Cambria" w:hAnsi="Cambria" w:eastAsia="Times New Roman" w:cs="Times New Roman"/>
      <w:b/>
      <w:bCs/>
      <w:i/>
      <w:iCs/>
      <w:color w:val="auto"/>
    </w:rPr>
  </w:style>
  <w:style w:type="paragraph" w:styleId="944" w:customStyle="1">
    <w:name w:val="ConsCell"/>
    <w:pPr>
      <w:widowControl w:val="off"/>
    </w:pPr>
    <w:rPr>
      <w:rFonts w:ascii="Arial" w:hAnsi="Arial" w:cs="Arial"/>
    </w:rPr>
  </w:style>
  <w:style w:type="paragraph" w:styleId="945">
    <w:name w:val="TOC Heading"/>
    <w:basedOn w:val="730"/>
    <w:next w:val="729"/>
    <w:uiPriority w:val="39"/>
    <w:semiHidden/>
    <w:unhideWhenUsed/>
    <w:qFormat/>
    <w:pPr>
      <w:ind w:left="0"/>
      <w:keepLines/>
      <w:keepNext/>
      <w:spacing w:before="480" w:line="276" w:lineRule="auto"/>
      <w:widowControl/>
      <w:outlineLvl w:val="9"/>
    </w:pPr>
    <w:rPr>
      <w:rFonts w:asciiTheme="majorHAnsi" w:hAnsiTheme="majorHAnsi" w:eastAsiaTheme="majorEastAsia" w:cstheme="majorBidi"/>
      <w:color w:val="365f91" w:themeColor="accent1" w:themeShade="BF"/>
      <w:lang w:val="ru-RU" w:eastAsia="ru-RU"/>
    </w:rPr>
  </w:style>
  <w:style w:type="paragraph" w:styleId="946">
    <w:name w:val="toc 3"/>
    <w:basedOn w:val="729"/>
    <w:next w:val="729"/>
    <w:uiPriority w:val="39"/>
    <w:unhideWhenUsed/>
    <w:pPr>
      <w:ind w:left="851"/>
      <w:jc w:val="both"/>
      <w:spacing w:after="100"/>
      <w:widowControl w:val="off"/>
      <w:tabs>
        <w:tab w:val="right" w:pos="10206" w:leader="dot"/>
      </w:tabs>
    </w:pPr>
    <w:rPr>
      <w:rFonts w:ascii="Times New Roman CYR" w:hAnsi="Times New Roman CYR" w:eastAsiaTheme="majorEastAsia" w:cstheme="majorBidi"/>
      <w:bCs/>
    </w:rPr>
  </w:style>
  <w:style w:type="paragraph" w:styleId="947">
    <w:name w:val="toc 4"/>
    <w:basedOn w:val="729"/>
    <w:next w:val="729"/>
    <w:uiPriority w:val="39"/>
    <w:unhideWhenUsed/>
    <w:pPr>
      <w:ind w:left="660"/>
      <w:spacing w:after="100" w:line="276" w:lineRule="auto"/>
    </w:pPr>
    <w:rPr>
      <w:rFonts w:eastAsiaTheme="minorEastAsia" w:cstheme="minorBidi"/>
      <w:szCs w:val="22"/>
    </w:rPr>
  </w:style>
  <w:style w:type="paragraph" w:styleId="948">
    <w:name w:val="toc 5"/>
    <w:basedOn w:val="729"/>
    <w:next w:val="729"/>
    <w:uiPriority w:val="39"/>
    <w:unhideWhenUsed/>
    <w:pPr>
      <w:ind w:left="880"/>
      <w:spacing w:after="100" w:line="276" w:lineRule="auto"/>
    </w:pPr>
    <w:rPr>
      <w:rFonts w:eastAsiaTheme="minorEastAsia" w:cstheme="minorBidi"/>
      <w:szCs w:val="22"/>
    </w:rPr>
  </w:style>
  <w:style w:type="paragraph" w:styleId="949">
    <w:name w:val="toc 6"/>
    <w:basedOn w:val="729"/>
    <w:next w:val="729"/>
    <w:uiPriority w:val="39"/>
    <w:unhideWhenUsed/>
    <w:pPr>
      <w:ind w:left="1100"/>
      <w:spacing w:after="100" w:line="276" w:lineRule="auto"/>
    </w:pPr>
    <w:rPr>
      <w:rFonts w:eastAsiaTheme="minorEastAsia" w:cstheme="minorBidi"/>
      <w:szCs w:val="22"/>
    </w:rPr>
  </w:style>
  <w:style w:type="paragraph" w:styleId="950">
    <w:name w:val="toc 7"/>
    <w:basedOn w:val="729"/>
    <w:next w:val="729"/>
    <w:uiPriority w:val="39"/>
    <w:unhideWhenUsed/>
    <w:pPr>
      <w:ind w:left="1320"/>
      <w:spacing w:after="100" w:line="276" w:lineRule="auto"/>
    </w:pPr>
    <w:rPr>
      <w:rFonts w:eastAsiaTheme="minorEastAsia" w:cstheme="minorBidi"/>
      <w:szCs w:val="22"/>
    </w:rPr>
  </w:style>
  <w:style w:type="paragraph" w:styleId="951">
    <w:name w:val="toc 8"/>
    <w:basedOn w:val="729"/>
    <w:next w:val="729"/>
    <w:uiPriority w:val="39"/>
    <w:unhideWhenUsed/>
    <w:pPr>
      <w:ind w:left="1540"/>
      <w:spacing w:after="100" w:line="276" w:lineRule="auto"/>
    </w:pPr>
    <w:rPr>
      <w:rFonts w:eastAsiaTheme="minorEastAsia" w:cstheme="minorBidi"/>
      <w:szCs w:val="22"/>
    </w:rPr>
  </w:style>
  <w:style w:type="paragraph" w:styleId="952">
    <w:name w:val="toc 9"/>
    <w:basedOn w:val="729"/>
    <w:next w:val="729"/>
    <w:uiPriority w:val="39"/>
    <w:unhideWhenUsed/>
    <w:pPr>
      <w:ind w:left="1760"/>
      <w:spacing w:after="100" w:line="276" w:lineRule="auto"/>
    </w:pPr>
    <w:rPr>
      <w:rFonts w:eastAsiaTheme="minorEastAsia" w:cstheme="minorBidi"/>
      <w:szCs w:val="22"/>
    </w:rPr>
  </w:style>
  <w:style w:type="character" w:styleId="953">
    <w:name w:val="Intense Emphasis"/>
    <w:basedOn w:val="739"/>
    <w:uiPriority w:val="21"/>
    <w:qFormat/>
    <w:rPr>
      <w:b/>
      <w:bCs/>
      <w:i/>
      <w:iCs/>
      <w:color w:val="4f81bd" w:themeColor="accent1"/>
    </w:rPr>
  </w:style>
  <w:style w:type="character" w:styleId="954">
    <w:name w:val="FollowedHyperlink"/>
    <w:basedOn w:val="739"/>
    <w:uiPriority w:val="99"/>
    <w:unhideWhenUsed/>
    <w:rPr>
      <w:color w:val="800080"/>
      <w:u w:val="single"/>
    </w:rPr>
  </w:style>
  <w:style w:type="paragraph" w:styleId="955" w:customStyle="1">
    <w:name w:val="font5"/>
    <w:basedOn w:val="729"/>
    <w:pPr>
      <w:spacing w:before="100" w:beforeAutospacing="1" w:after="100" w:afterAutospacing="1"/>
    </w:pPr>
    <w:rPr>
      <w:b/>
      <w:bCs/>
      <w:color w:val="000000"/>
    </w:rPr>
  </w:style>
  <w:style w:type="paragraph" w:styleId="956" w:customStyle="1">
    <w:name w:val="xl70"/>
    <w:basedOn w:val="729"/>
    <w:pPr>
      <w:jc w:val="center"/>
      <w:spacing w:before="100" w:beforeAutospacing="1" w:after="100" w:afterAutospacing="1"/>
      <w:pBdr>
        <w:top w:val="single" w:color="000000" w:sz="8" w:space="0"/>
        <w:left w:val="single" w:color="000000" w:sz="8" w:space="0"/>
        <w:bottom w:val="single" w:color="000000" w:sz="8" w:space="0"/>
        <w:right w:val="single" w:color="000000" w:sz="8" w:space="0"/>
      </w:pBdr>
    </w:pPr>
    <w:rPr>
      <w:b/>
      <w:bCs/>
    </w:rPr>
  </w:style>
  <w:style w:type="paragraph" w:styleId="957" w:customStyle="1">
    <w:name w:val="xl71"/>
    <w:basedOn w:val="729"/>
    <w:pPr>
      <w:jc w:val="center"/>
      <w:spacing w:before="100" w:beforeAutospacing="1" w:after="100" w:afterAutospacing="1"/>
      <w:pBdr>
        <w:left w:val="single" w:color="000000" w:sz="8" w:space="0"/>
        <w:bottom w:val="single" w:color="000000" w:sz="8" w:space="0"/>
        <w:right w:val="single" w:color="000000" w:sz="8" w:space="0"/>
      </w:pBdr>
    </w:pPr>
    <w:rPr>
      <w:b/>
      <w:bCs/>
    </w:rPr>
  </w:style>
  <w:style w:type="paragraph" w:styleId="958" w:customStyle="1">
    <w:name w:val="xl72"/>
    <w:basedOn w:val="729"/>
    <w:pPr>
      <w:jc w:val="center"/>
      <w:spacing w:before="100" w:beforeAutospacing="1" w:after="100" w:afterAutospacing="1"/>
      <w:pBdr>
        <w:top w:val="single" w:color="000000" w:sz="8" w:space="0"/>
        <w:left w:val="single" w:color="000000" w:sz="8" w:space="0"/>
        <w:bottom w:val="single" w:color="000000" w:sz="8" w:space="0"/>
      </w:pBdr>
    </w:pPr>
    <w:rPr>
      <w:b/>
      <w:bCs/>
    </w:rPr>
  </w:style>
  <w:style w:type="paragraph" w:styleId="959" w:customStyle="1">
    <w:name w:val="xl73"/>
    <w:basedOn w:val="729"/>
    <w:pPr>
      <w:jc w:val="center"/>
      <w:spacing w:before="100" w:beforeAutospacing="1" w:after="100" w:afterAutospacing="1"/>
      <w:pBdr>
        <w:top w:val="single" w:color="000000" w:sz="8" w:space="0"/>
        <w:bottom w:val="single" w:color="000000" w:sz="8" w:space="0"/>
      </w:pBdr>
    </w:pPr>
    <w:rPr>
      <w:b/>
      <w:bCs/>
    </w:rPr>
  </w:style>
  <w:style w:type="paragraph" w:styleId="960" w:customStyle="1">
    <w:name w:val="xl74"/>
    <w:basedOn w:val="729"/>
    <w:pPr>
      <w:jc w:val="center"/>
      <w:spacing w:before="100" w:beforeAutospacing="1" w:after="100" w:afterAutospacing="1"/>
      <w:pBdr>
        <w:top w:val="single" w:color="000000" w:sz="8" w:space="0"/>
        <w:bottom w:val="single" w:color="000000" w:sz="8" w:space="0"/>
        <w:right w:val="single" w:color="000000" w:sz="8" w:space="0"/>
      </w:pBdr>
    </w:pPr>
    <w:rPr>
      <w:b/>
      <w:bCs/>
    </w:rPr>
  </w:style>
  <w:style w:type="paragraph" w:styleId="961" w:customStyle="1">
    <w:name w:val="xl75"/>
    <w:basedOn w:val="729"/>
    <w:pPr>
      <w:jc w:val="center"/>
      <w:spacing w:before="100" w:beforeAutospacing="1" w:after="100" w:afterAutospacing="1"/>
      <w:pBdr>
        <w:top w:val="single" w:color="000000" w:sz="8" w:space="0"/>
        <w:left w:val="single" w:color="000000" w:sz="8" w:space="0"/>
        <w:bottom w:val="single" w:color="000000" w:sz="8" w:space="0"/>
        <w:right w:val="single" w:color="000000" w:sz="8" w:space="0"/>
      </w:pBdr>
    </w:pPr>
    <w:rPr>
      <w:b/>
      <w:bCs/>
    </w:rPr>
  </w:style>
  <w:style w:type="paragraph" w:styleId="962" w:customStyle="1">
    <w:name w:val="xl76"/>
    <w:basedOn w:val="729"/>
    <w:pPr>
      <w:jc w:val="center"/>
      <w:spacing w:before="100" w:beforeAutospacing="1" w:after="100" w:afterAutospacing="1"/>
      <w:pBdr>
        <w:bottom w:val="single" w:color="000000" w:sz="8" w:space="0"/>
        <w:right w:val="single" w:color="000000" w:sz="8" w:space="0"/>
      </w:pBdr>
    </w:pPr>
  </w:style>
  <w:style w:type="paragraph" w:styleId="963" w:customStyle="1">
    <w:name w:val="xl77"/>
    <w:basedOn w:val="729"/>
    <w:pPr>
      <w:jc w:val="center"/>
      <w:spacing w:before="100" w:beforeAutospacing="1" w:after="100" w:afterAutospacing="1"/>
      <w:pBdr>
        <w:top w:val="single" w:color="000000" w:sz="8" w:space="0"/>
        <w:left w:val="single" w:color="000000" w:sz="8" w:space="0"/>
        <w:bottom w:val="single" w:color="000000" w:sz="8" w:space="0"/>
        <w:right w:val="single" w:color="000000" w:sz="8" w:space="0"/>
      </w:pBdr>
    </w:pPr>
  </w:style>
  <w:style w:type="paragraph" w:styleId="964" w:customStyle="1">
    <w:name w:val="xl78"/>
    <w:basedOn w:val="729"/>
    <w:pPr>
      <w:spacing w:before="100" w:beforeAutospacing="1" w:after="100" w:afterAutospacing="1"/>
      <w:pBdr>
        <w:top w:val="single" w:color="000000" w:sz="8" w:space="0"/>
        <w:left w:val="single" w:color="000000" w:sz="8" w:space="0"/>
        <w:bottom w:val="single" w:color="000000" w:sz="8" w:space="0"/>
        <w:right w:val="single" w:color="000000" w:sz="8" w:space="0"/>
      </w:pBdr>
    </w:pPr>
  </w:style>
  <w:style w:type="paragraph" w:styleId="965" w:customStyle="1">
    <w:name w:val="xl79"/>
    <w:basedOn w:val="729"/>
    <w:pPr>
      <w:jc w:val="center"/>
      <w:spacing w:before="100" w:beforeAutospacing="1" w:after="100" w:afterAutospacing="1"/>
      <w:pBdr>
        <w:top w:val="single" w:color="000000" w:sz="8" w:space="0"/>
        <w:left w:val="single" w:color="000000" w:sz="8" w:space="0"/>
        <w:bottom w:val="single" w:color="000000" w:sz="8" w:space="0"/>
        <w:right w:val="single" w:color="000000" w:sz="8" w:space="0"/>
      </w:pBdr>
    </w:pPr>
  </w:style>
  <w:style w:type="paragraph" w:styleId="966" w:customStyle="1">
    <w:name w:val="xl80"/>
    <w:basedOn w:val="729"/>
    <w:pPr>
      <w:spacing w:before="100" w:beforeAutospacing="1" w:after="100" w:afterAutospacing="1"/>
      <w:pBdr>
        <w:top w:val="single" w:color="000000" w:sz="8" w:space="0"/>
        <w:left w:val="single" w:color="000000" w:sz="8" w:space="0"/>
        <w:bottom w:val="single" w:color="000000" w:sz="8" w:space="0"/>
        <w:right w:val="single" w:color="000000" w:sz="8" w:space="0"/>
      </w:pBdr>
    </w:pPr>
  </w:style>
  <w:style w:type="paragraph" w:styleId="967" w:customStyle="1">
    <w:name w:val="xl81"/>
    <w:basedOn w:val="729"/>
    <w:pPr>
      <w:jc w:val="center"/>
      <w:spacing w:before="100" w:beforeAutospacing="1" w:after="100" w:afterAutospacing="1"/>
      <w:pBdr>
        <w:top w:val="single" w:color="000000" w:sz="8" w:space="0"/>
        <w:left w:val="single" w:color="000000" w:sz="8" w:space="0"/>
        <w:bottom w:val="single" w:color="000000" w:sz="8" w:space="0"/>
        <w:right w:val="single" w:color="000000" w:sz="8" w:space="0"/>
      </w:pBdr>
    </w:pPr>
  </w:style>
  <w:style w:type="paragraph" w:styleId="968" w:customStyle="1">
    <w:name w:val="xl82"/>
    <w:basedOn w:val="729"/>
    <w:pPr>
      <w:jc w:val="center"/>
      <w:spacing w:before="100" w:beforeAutospacing="1" w:after="100" w:afterAutospacing="1"/>
      <w:pBdr>
        <w:top w:val="single" w:color="000000" w:sz="8" w:space="0"/>
        <w:left w:val="single" w:color="000000" w:sz="8" w:space="0"/>
        <w:bottom w:val="single" w:color="000000" w:sz="8" w:space="0"/>
        <w:right w:val="single" w:color="000000" w:sz="8" w:space="0"/>
      </w:pBdr>
    </w:pPr>
  </w:style>
  <w:style w:type="paragraph" w:styleId="969" w:customStyle="1">
    <w:name w:val="xl83"/>
    <w:basedOn w:val="729"/>
    <w:pPr>
      <w:spacing w:before="100" w:beforeAutospacing="1" w:after="100" w:afterAutospacing="1"/>
      <w:pBdr>
        <w:top w:val="single" w:color="000000" w:sz="8" w:space="0"/>
        <w:left w:val="single" w:color="000000" w:sz="8" w:space="0"/>
        <w:bottom w:val="single" w:color="000000" w:sz="8" w:space="0"/>
        <w:right w:val="single" w:color="000000" w:sz="8" w:space="0"/>
      </w:pBdr>
    </w:pPr>
    <w:rPr>
      <w:i/>
      <w:iCs/>
    </w:rPr>
  </w:style>
  <w:style w:type="paragraph" w:styleId="970" w:customStyle="1">
    <w:name w:val="xl84"/>
    <w:basedOn w:val="729"/>
    <w:pPr>
      <w:jc w:val="center"/>
      <w:spacing w:before="100" w:beforeAutospacing="1" w:after="100" w:afterAutospacing="1"/>
      <w:pBdr>
        <w:top w:val="single" w:color="000000" w:sz="8" w:space="0"/>
        <w:left w:val="single" w:color="000000" w:sz="8" w:space="0"/>
        <w:bottom w:val="single" w:color="000000" w:sz="8" w:space="0"/>
        <w:right w:val="single" w:color="000000" w:sz="8" w:space="0"/>
      </w:pBdr>
    </w:pPr>
  </w:style>
  <w:style w:type="paragraph" w:styleId="971" w:customStyle="1">
    <w:name w:val="xl85"/>
    <w:basedOn w:val="729"/>
    <w:pPr>
      <w:jc w:val="center"/>
      <w:spacing w:before="100" w:beforeAutospacing="1" w:after="100" w:afterAutospacing="1"/>
      <w:pBdr>
        <w:top w:val="single" w:color="000000" w:sz="8" w:space="0"/>
        <w:left w:val="single" w:color="000000" w:sz="8" w:space="0"/>
        <w:bottom w:val="single" w:color="000000" w:sz="8" w:space="0"/>
        <w:right w:val="single" w:color="000000" w:sz="8" w:space="0"/>
      </w:pBdr>
    </w:pPr>
  </w:style>
  <w:style w:type="paragraph" w:styleId="972" w:customStyle="1">
    <w:name w:val="xl86"/>
    <w:basedOn w:val="729"/>
    <w:pPr>
      <w:spacing w:before="100" w:beforeAutospacing="1" w:after="100" w:afterAutospacing="1"/>
      <w:pBdr>
        <w:top w:val="single" w:color="000000" w:sz="8" w:space="0"/>
        <w:left w:val="single" w:color="000000" w:sz="8" w:space="0"/>
        <w:bottom w:val="single" w:color="000000" w:sz="8" w:space="0"/>
        <w:right w:val="single" w:color="000000" w:sz="8" w:space="0"/>
      </w:pBdr>
    </w:pPr>
  </w:style>
  <w:style w:type="paragraph" w:styleId="973" w:customStyle="1">
    <w:name w:val="xl87"/>
    <w:basedOn w:val="729"/>
    <w:pPr>
      <w:jc w:val="center"/>
      <w:spacing w:before="100" w:beforeAutospacing="1" w:after="100" w:afterAutospacing="1"/>
      <w:pBdr>
        <w:top w:val="single" w:color="000000" w:sz="8" w:space="0"/>
        <w:left w:val="single" w:color="000000" w:sz="8" w:space="0"/>
        <w:bottom w:val="single" w:color="000000" w:sz="8" w:space="0"/>
        <w:right w:val="single" w:color="000000" w:sz="8" w:space="0"/>
      </w:pBdr>
    </w:pPr>
    <w:rPr>
      <w:b/>
      <w:bCs/>
    </w:rPr>
  </w:style>
  <w:style w:type="paragraph" w:styleId="974" w:customStyle="1">
    <w:name w:val="xl88"/>
    <w:basedOn w:val="729"/>
    <w:pPr>
      <w:jc w:val="center"/>
      <w:spacing w:before="100" w:beforeAutospacing="1" w:after="100" w:afterAutospacing="1"/>
      <w:pBdr>
        <w:bottom w:val="single" w:color="000000" w:sz="8" w:space="0"/>
        <w:right w:val="single" w:color="000000" w:sz="8" w:space="0"/>
      </w:pBdr>
    </w:pPr>
    <w:rPr>
      <w:b/>
      <w:bCs/>
    </w:rPr>
  </w:style>
  <w:style w:type="paragraph" w:styleId="975" w:customStyle="1">
    <w:name w:val="xl89"/>
    <w:basedOn w:val="729"/>
    <w:pPr>
      <w:spacing w:before="100" w:beforeAutospacing="1" w:after="100" w:afterAutospacing="1"/>
      <w:pBdr>
        <w:top w:val="single" w:color="000000" w:sz="8" w:space="0"/>
        <w:left w:val="single" w:color="000000" w:sz="8" w:space="0"/>
        <w:bottom w:val="single" w:color="000000" w:sz="8" w:space="0"/>
        <w:right w:val="single" w:color="000000" w:sz="8" w:space="0"/>
      </w:pBdr>
    </w:pPr>
  </w:style>
  <w:style w:type="paragraph" w:styleId="976" w:customStyle="1">
    <w:name w:val="xl90"/>
    <w:basedOn w:val="729"/>
    <w:pPr>
      <w:jc w:val="center"/>
      <w:spacing w:before="100" w:beforeAutospacing="1" w:after="100" w:afterAutospacing="1"/>
      <w:pBdr>
        <w:top w:val="single" w:color="000000" w:sz="8" w:space="0"/>
        <w:left w:val="single" w:color="000000" w:sz="8" w:space="0"/>
        <w:bottom w:val="single" w:color="000000" w:sz="8" w:space="0"/>
        <w:right w:val="single" w:color="000000" w:sz="8" w:space="0"/>
      </w:pBdr>
    </w:pPr>
  </w:style>
  <w:style w:type="numbering" w:styleId="977" w:customStyle="1">
    <w:name w:val="Нет списка2"/>
    <w:next w:val="741"/>
    <w:uiPriority w:val="99"/>
    <w:semiHidden/>
    <w:unhideWhenUsed/>
  </w:style>
  <w:style w:type="paragraph" w:styleId="978" w:customStyle="1">
    <w:name w:val="Бол. загол.1"/>
    <w:basedOn w:val="729"/>
    <w:next w:val="729"/>
    <w:uiPriority w:val="9"/>
    <w:unhideWhenUsed/>
    <w:qFormat/>
    <w:pPr>
      <w:contextualSpacing/>
      <w:ind w:firstLine="709"/>
      <w:jc w:val="center"/>
      <w:keepLines/>
      <w:keepNext/>
      <w:spacing w:after="120"/>
      <w:widowControl w:val="off"/>
      <w:outlineLvl w:val="1"/>
    </w:pPr>
    <w:rPr>
      <w:b/>
      <w:bCs/>
      <w:caps/>
      <w:color w:val="000000"/>
      <w:szCs w:val="26"/>
    </w:rPr>
  </w:style>
  <w:style w:type="paragraph" w:styleId="979" w:customStyle="1">
    <w:name w:val="Мал. загол.1"/>
    <w:basedOn w:val="729"/>
    <w:next w:val="729"/>
    <w:uiPriority w:val="9"/>
    <w:unhideWhenUsed/>
    <w:qFormat/>
    <w:pPr>
      <w:jc w:val="center"/>
      <w:keepLines/>
      <w:keepNext/>
      <w:spacing w:before="120" w:after="120"/>
      <w:widowControl w:val="off"/>
      <w:outlineLvl w:val="2"/>
    </w:pPr>
    <w:rPr>
      <w:b/>
      <w:bCs/>
      <w:color w:val="000000"/>
    </w:rPr>
  </w:style>
  <w:style w:type="paragraph" w:styleId="980" w:customStyle="1">
    <w:name w:val="Заголовок 41"/>
    <w:basedOn w:val="729"/>
    <w:next w:val="729"/>
    <w:uiPriority w:val="9"/>
    <w:semiHidden/>
    <w:unhideWhenUsed/>
    <w:pPr>
      <w:ind w:firstLine="720"/>
      <w:jc w:val="both"/>
      <w:keepLines/>
      <w:keepNext/>
      <w:spacing w:before="200"/>
      <w:widowControl w:val="off"/>
      <w:outlineLvl w:val="3"/>
    </w:pPr>
    <w:rPr>
      <w:rFonts w:ascii="Cambria" w:hAnsi="Cambria"/>
      <w:b/>
      <w:bCs/>
      <w:i/>
      <w:iCs/>
      <w:color w:val="4f81bd"/>
    </w:rPr>
  </w:style>
  <w:style w:type="numbering" w:styleId="981" w:customStyle="1">
    <w:name w:val="Нет списка12"/>
    <w:next w:val="741"/>
    <w:uiPriority w:val="99"/>
    <w:semiHidden/>
    <w:unhideWhenUsed/>
  </w:style>
  <w:style w:type="numbering" w:styleId="982" w:customStyle="1">
    <w:name w:val="Нет списка1111"/>
    <w:next w:val="741"/>
    <w:uiPriority w:val="99"/>
    <w:semiHidden/>
    <w:unhideWhenUsed/>
  </w:style>
  <w:style w:type="paragraph" w:styleId="983" w:customStyle="1">
    <w:name w:val="Основной текст1"/>
    <w:basedOn w:val="729"/>
    <w:next w:val="894"/>
    <w:uiPriority w:val="1"/>
    <w:unhideWhenUsed/>
    <w:qFormat/>
    <w:pPr>
      <w:ind w:firstLine="720"/>
      <w:jc w:val="both"/>
      <w:spacing w:after="120"/>
      <w:widowControl w:val="off"/>
    </w:pPr>
    <w:rPr>
      <w:rFonts w:ascii="Times New Roman CYR" w:hAnsi="Times New Roman CYR" w:cs="Times New Roman CYR"/>
    </w:rPr>
  </w:style>
  <w:style w:type="character" w:styleId="984" w:customStyle="1">
    <w:name w:val="Гиперссылка1"/>
    <w:basedOn w:val="739"/>
    <w:uiPriority w:val="99"/>
    <w:unhideWhenUsed/>
    <w:rPr>
      <w:color w:val="0000ff"/>
      <w:u w:val="single"/>
    </w:rPr>
  </w:style>
  <w:style w:type="table" w:styleId="985" w:customStyle="1">
    <w:name w:val="Сетка таблицы1"/>
    <w:basedOn w:val="740"/>
    <w:next w:val="925"/>
    <w:uiPriority w:val="59"/>
    <w:rPr>
      <w:rFonts w:asciiTheme="minorHAnsi" w:hAnsiTheme="minorHAnsi" w:eastAsiaTheme="minorHAnsi" w:cstheme="minorBidi"/>
      <w:sz w:val="22"/>
      <w:szCs w:val="22"/>
      <w:lang w:eastAsia="en-US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986" w:customStyle="1">
    <w:name w:val="Текст выноски1"/>
    <w:basedOn w:val="729"/>
    <w:next w:val="897"/>
    <w:uiPriority w:val="99"/>
    <w:semiHidden/>
    <w:unhideWhenUsed/>
    <w:pPr>
      <w:ind w:firstLine="720"/>
      <w:jc w:val="both"/>
      <w:widowControl w:val="off"/>
    </w:pPr>
    <w:rPr>
      <w:rFonts w:ascii="Tahoma" w:hAnsi="Tahoma" w:cs="Tahoma"/>
      <w:sz w:val="16"/>
      <w:szCs w:val="16"/>
    </w:rPr>
  </w:style>
  <w:style w:type="paragraph" w:styleId="987" w:customStyle="1">
    <w:name w:val="Верхний колонтитул1"/>
    <w:basedOn w:val="729"/>
    <w:next w:val="910"/>
    <w:uiPriority w:val="99"/>
    <w:unhideWhenUsed/>
    <w:pPr>
      <w:ind w:firstLine="720"/>
      <w:jc w:val="both"/>
      <w:widowControl w:val="off"/>
      <w:tabs>
        <w:tab w:val="center" w:pos="4677" w:leader="none"/>
        <w:tab w:val="right" w:pos="9355" w:leader="none"/>
      </w:tabs>
    </w:pPr>
    <w:rPr>
      <w:rFonts w:ascii="Times New Roman CYR" w:hAnsi="Times New Roman CYR" w:cs="Times New Roman CYR"/>
    </w:rPr>
  </w:style>
  <w:style w:type="paragraph" w:styleId="988" w:customStyle="1">
    <w:name w:val="Нижний колонтитул1"/>
    <w:basedOn w:val="729"/>
    <w:next w:val="904"/>
    <w:uiPriority w:val="99"/>
    <w:unhideWhenUsed/>
    <w:pPr>
      <w:ind w:firstLine="720"/>
      <w:jc w:val="both"/>
      <w:widowControl w:val="off"/>
      <w:tabs>
        <w:tab w:val="center" w:pos="4677" w:leader="none"/>
        <w:tab w:val="right" w:pos="9355" w:leader="none"/>
      </w:tabs>
    </w:pPr>
    <w:rPr>
      <w:rFonts w:ascii="Times New Roman CYR" w:hAnsi="Times New Roman CYR" w:cs="Times New Roman CYR"/>
    </w:rPr>
  </w:style>
  <w:style w:type="paragraph" w:styleId="989" w:customStyle="1">
    <w:name w:val="Основной текст с отступом 21"/>
    <w:basedOn w:val="729"/>
    <w:next w:val="933"/>
    <w:uiPriority w:val="99"/>
    <w:semiHidden/>
    <w:unhideWhenUsed/>
    <w:pPr>
      <w:ind w:left="283" w:firstLine="720"/>
      <w:jc w:val="both"/>
      <w:spacing w:after="120" w:line="480" w:lineRule="auto"/>
      <w:widowControl w:val="off"/>
    </w:pPr>
    <w:rPr>
      <w:rFonts w:ascii="Times New Roman CYR" w:hAnsi="Times New Roman CYR" w:cs="Times New Roman CYR"/>
    </w:rPr>
  </w:style>
  <w:style w:type="paragraph" w:styleId="990" w:customStyle="1">
    <w:name w:val="Рецензия1"/>
    <w:next w:val="935"/>
    <w:hidden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991" w:customStyle="1">
    <w:name w:val="Заголовок оглавления1"/>
    <w:basedOn w:val="730"/>
    <w:next w:val="729"/>
    <w:uiPriority w:val="39"/>
    <w:semiHidden/>
    <w:unhideWhenUsed/>
    <w:qFormat/>
    <w:pPr>
      <w:ind w:left="0"/>
      <w:keepLines/>
      <w:keepNext/>
      <w:spacing w:before="480" w:line="276" w:lineRule="auto"/>
      <w:widowControl/>
      <w:outlineLvl w:val="9"/>
    </w:pPr>
    <w:rPr>
      <w:rFonts w:ascii="Cambria" w:hAnsi="Cambria"/>
      <w:color w:val="365f91"/>
      <w:lang w:val="ru-RU" w:eastAsia="ru-RU"/>
    </w:rPr>
  </w:style>
  <w:style w:type="paragraph" w:styleId="992" w:customStyle="1">
    <w:name w:val="Оглавление 31"/>
    <w:basedOn w:val="729"/>
    <w:next w:val="729"/>
    <w:uiPriority w:val="39"/>
    <w:unhideWhenUsed/>
    <w:pPr>
      <w:ind w:left="709"/>
      <w:jc w:val="both"/>
      <w:spacing w:after="100"/>
      <w:widowControl w:val="off"/>
      <w:tabs>
        <w:tab w:val="right" w:pos="9911" w:leader="dot"/>
      </w:tabs>
    </w:pPr>
    <w:rPr>
      <w:rFonts w:ascii="Times New Roman CYR" w:hAnsi="Times New Roman CYR"/>
      <w:bCs/>
    </w:rPr>
  </w:style>
  <w:style w:type="paragraph" w:styleId="993" w:customStyle="1">
    <w:name w:val="Оглавление 41"/>
    <w:basedOn w:val="729"/>
    <w:next w:val="729"/>
    <w:uiPriority w:val="39"/>
    <w:unhideWhenUsed/>
    <w:pPr>
      <w:ind w:left="660"/>
      <w:spacing w:after="100" w:line="276" w:lineRule="auto"/>
    </w:pPr>
    <w:rPr>
      <w:rFonts w:cstheme="minorBidi"/>
      <w:szCs w:val="22"/>
    </w:rPr>
  </w:style>
  <w:style w:type="paragraph" w:styleId="994" w:customStyle="1">
    <w:name w:val="Оглавление 51"/>
    <w:basedOn w:val="729"/>
    <w:next w:val="729"/>
    <w:uiPriority w:val="39"/>
    <w:unhideWhenUsed/>
    <w:pPr>
      <w:ind w:left="880"/>
      <w:spacing w:after="100" w:line="276" w:lineRule="auto"/>
    </w:pPr>
    <w:rPr>
      <w:rFonts w:cstheme="minorBidi"/>
      <w:szCs w:val="22"/>
    </w:rPr>
  </w:style>
  <w:style w:type="paragraph" w:styleId="995" w:customStyle="1">
    <w:name w:val="Оглавление 61"/>
    <w:basedOn w:val="729"/>
    <w:next w:val="729"/>
    <w:uiPriority w:val="39"/>
    <w:unhideWhenUsed/>
    <w:pPr>
      <w:ind w:left="1100"/>
      <w:spacing w:after="100" w:line="276" w:lineRule="auto"/>
    </w:pPr>
    <w:rPr>
      <w:rFonts w:cstheme="minorBidi"/>
      <w:szCs w:val="22"/>
    </w:rPr>
  </w:style>
  <w:style w:type="paragraph" w:styleId="996" w:customStyle="1">
    <w:name w:val="Оглавление 71"/>
    <w:basedOn w:val="729"/>
    <w:next w:val="729"/>
    <w:uiPriority w:val="39"/>
    <w:unhideWhenUsed/>
    <w:pPr>
      <w:ind w:left="1320"/>
      <w:spacing w:after="100" w:line="276" w:lineRule="auto"/>
    </w:pPr>
    <w:rPr>
      <w:rFonts w:cstheme="minorBidi"/>
      <w:szCs w:val="22"/>
    </w:rPr>
  </w:style>
  <w:style w:type="paragraph" w:styleId="997" w:customStyle="1">
    <w:name w:val="Оглавление 81"/>
    <w:basedOn w:val="729"/>
    <w:next w:val="729"/>
    <w:uiPriority w:val="39"/>
    <w:unhideWhenUsed/>
    <w:pPr>
      <w:ind w:left="1540"/>
      <w:spacing w:after="100" w:line="276" w:lineRule="auto"/>
    </w:pPr>
    <w:rPr>
      <w:rFonts w:cstheme="minorBidi"/>
      <w:szCs w:val="22"/>
    </w:rPr>
  </w:style>
  <w:style w:type="paragraph" w:styleId="998" w:customStyle="1">
    <w:name w:val="Оглавление 91"/>
    <w:basedOn w:val="729"/>
    <w:next w:val="729"/>
    <w:uiPriority w:val="39"/>
    <w:unhideWhenUsed/>
    <w:pPr>
      <w:ind w:left="1760"/>
      <w:spacing w:after="100" w:line="276" w:lineRule="auto"/>
    </w:pPr>
    <w:rPr>
      <w:rFonts w:cstheme="minorBidi"/>
      <w:szCs w:val="22"/>
    </w:rPr>
  </w:style>
  <w:style w:type="character" w:styleId="999" w:customStyle="1">
    <w:name w:val="Сильное выделение1"/>
    <w:basedOn w:val="739"/>
    <w:uiPriority w:val="21"/>
    <w:qFormat/>
    <w:rPr>
      <w:b/>
      <w:bCs/>
      <w:i/>
      <w:iCs/>
      <w:color w:val="4f81bd"/>
    </w:rPr>
  </w:style>
  <w:style w:type="character" w:styleId="1000" w:customStyle="1">
    <w:name w:val="Заголовок 2 Знак1"/>
    <w:basedOn w:val="739"/>
    <w:uiPriority w:val="9"/>
    <w:semiHidden/>
    <w:rPr>
      <w:rFonts w:ascii="Calibri Light" w:hAnsi="Calibri Light" w:eastAsia="Times New Roman" w:cs="Times New Roman"/>
      <w:color w:val="2e74b5"/>
      <w:sz w:val="26"/>
      <w:szCs w:val="26"/>
    </w:rPr>
  </w:style>
  <w:style w:type="character" w:styleId="1001" w:customStyle="1">
    <w:name w:val="Заголовок 3 Знак1"/>
    <w:basedOn w:val="739"/>
    <w:uiPriority w:val="9"/>
    <w:semiHidden/>
    <w:rPr>
      <w:rFonts w:ascii="Calibri Light" w:hAnsi="Calibri Light" w:eastAsia="Times New Roman" w:cs="Times New Roman"/>
      <w:color w:val="1f4d78"/>
      <w:sz w:val="24"/>
      <w:szCs w:val="24"/>
    </w:rPr>
  </w:style>
  <w:style w:type="character" w:styleId="1002" w:customStyle="1">
    <w:name w:val="Заголовок 4 Знак1"/>
    <w:basedOn w:val="739"/>
    <w:uiPriority w:val="9"/>
    <w:semiHidden/>
    <w:rPr>
      <w:rFonts w:ascii="Calibri Light" w:hAnsi="Calibri Light" w:eastAsia="Times New Roman" w:cs="Times New Roman"/>
      <w:i/>
      <w:iCs/>
      <w:color w:val="2e74b5"/>
    </w:rPr>
  </w:style>
  <w:style w:type="character" w:styleId="1003" w:customStyle="1">
    <w:name w:val="Основной текст Знак1"/>
    <w:basedOn w:val="739"/>
    <w:uiPriority w:val="99"/>
  </w:style>
  <w:style w:type="character" w:styleId="1004" w:customStyle="1">
    <w:name w:val="Текст выноски Знак1"/>
    <w:basedOn w:val="739"/>
    <w:uiPriority w:val="99"/>
    <w:semiHidden/>
    <w:rPr>
      <w:rFonts w:ascii="Segoe UI" w:hAnsi="Segoe UI" w:cs="Segoe UI"/>
      <w:sz w:val="18"/>
      <w:szCs w:val="18"/>
    </w:rPr>
  </w:style>
  <w:style w:type="character" w:styleId="1005" w:customStyle="1">
    <w:name w:val="Верхний колонтитул Знак1"/>
    <w:basedOn w:val="739"/>
    <w:uiPriority w:val="99"/>
  </w:style>
  <w:style w:type="character" w:styleId="1006" w:customStyle="1">
    <w:name w:val="Нижний колонтитул Знак1"/>
    <w:basedOn w:val="739"/>
    <w:uiPriority w:val="99"/>
  </w:style>
  <w:style w:type="character" w:styleId="1007" w:customStyle="1">
    <w:name w:val="Основной текст с отступом 2 Знак1"/>
    <w:basedOn w:val="739"/>
    <w:uiPriority w:val="99"/>
    <w:semiHidden/>
  </w:style>
  <w:style w:type="table" w:styleId="1008" w:customStyle="1">
    <w:name w:val="Сетка таблицы2"/>
    <w:basedOn w:val="740"/>
    <w:next w:val="925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1009" w:customStyle="1">
    <w:name w:val="Гиперссылка2"/>
    <w:basedOn w:val="739"/>
    <w:uiPriority w:val="99"/>
    <w:unhideWhenUsed/>
    <w:rPr>
      <w:color w:val="0563c1"/>
      <w:u w:val="single"/>
    </w:rPr>
  </w:style>
  <w:style w:type="character" w:styleId="1010" w:customStyle="1">
    <w:name w:val="Сильное выделение2"/>
    <w:basedOn w:val="739"/>
    <w:uiPriority w:val="21"/>
    <w:qFormat/>
    <w:rPr>
      <w:i/>
      <w:iCs/>
      <w:color w:val="5b9bd5"/>
    </w:rPr>
  </w:style>
  <w:style w:type="numbering" w:styleId="1011" w:customStyle="1">
    <w:name w:val="Нет списка3"/>
    <w:next w:val="741"/>
    <w:uiPriority w:val="99"/>
    <w:semiHidden/>
    <w:unhideWhenUsed/>
  </w:style>
  <w:style w:type="numbering" w:styleId="1012" w:customStyle="1">
    <w:name w:val="Нет списка13"/>
    <w:next w:val="741"/>
    <w:uiPriority w:val="99"/>
    <w:semiHidden/>
    <w:unhideWhenUsed/>
  </w:style>
  <w:style w:type="numbering" w:styleId="1013" w:customStyle="1">
    <w:name w:val="Нет списка112"/>
    <w:next w:val="741"/>
    <w:uiPriority w:val="99"/>
    <w:semiHidden/>
    <w:unhideWhenUsed/>
  </w:style>
  <w:style w:type="numbering" w:styleId="1014" w:customStyle="1">
    <w:name w:val="Нет списка11111"/>
    <w:next w:val="741"/>
    <w:uiPriority w:val="99"/>
    <w:semiHidden/>
    <w:unhideWhenUsed/>
  </w:style>
  <w:style w:type="numbering" w:styleId="1015" w:customStyle="1">
    <w:name w:val="Нет списка4"/>
    <w:next w:val="741"/>
    <w:uiPriority w:val="99"/>
    <w:semiHidden/>
    <w:unhideWhenUsed/>
  </w:style>
  <w:style w:type="numbering" w:styleId="1016" w:customStyle="1">
    <w:name w:val="Нет списка14"/>
    <w:next w:val="741"/>
    <w:uiPriority w:val="99"/>
    <w:semiHidden/>
    <w:unhideWhenUsed/>
  </w:style>
  <w:style w:type="numbering" w:styleId="1017" w:customStyle="1">
    <w:name w:val="Нет списка113"/>
    <w:next w:val="741"/>
    <w:uiPriority w:val="99"/>
    <w:semiHidden/>
    <w:unhideWhenUsed/>
  </w:style>
  <w:style w:type="numbering" w:styleId="1018" w:customStyle="1">
    <w:name w:val="Нет списка1112"/>
    <w:next w:val="741"/>
    <w:uiPriority w:val="99"/>
    <w:semiHidden/>
    <w:unhideWhenUsed/>
  </w:style>
  <w:style w:type="character" w:styleId="1019" w:customStyle="1">
    <w:name w:val="Основной текст + 13 pt"/>
    <w:rPr>
      <w:rFonts w:ascii="Times New Roman" w:hAnsi="Times New Roman"/>
      <w:color w:val="000000"/>
      <w:spacing w:val="1"/>
      <w:position w:val="0"/>
      <w:sz w:val="26"/>
      <w:u w:val="none"/>
      <w:lang w:val="ru-RU"/>
    </w:rPr>
  </w:style>
  <w:style w:type="character" w:styleId="1020" w:customStyle="1">
    <w:name w:val="Основной текст (4)_"/>
    <w:link w:val="1021"/>
    <w:rPr>
      <w:spacing w:val="2"/>
      <w:sz w:val="21"/>
      <w:shd w:val="clear" w:color="auto" w:fill="ffffff"/>
    </w:rPr>
  </w:style>
  <w:style w:type="paragraph" w:styleId="1021" w:customStyle="1">
    <w:name w:val="Основной текст (4)"/>
    <w:basedOn w:val="729"/>
    <w:link w:val="1020"/>
    <w:pPr>
      <w:jc w:val="both"/>
      <w:spacing w:before="60" w:after="60" w:line="274" w:lineRule="exact"/>
      <w:shd w:val="clear" w:color="auto" w:fill="ffffff"/>
      <w:widowControl w:val="off"/>
    </w:pPr>
    <w:rPr>
      <w:spacing w:val="2"/>
      <w:sz w:val="21"/>
      <w:shd w:val="clear" w:color="auto" w:fill="ffffff"/>
    </w:rPr>
  </w:style>
  <w:style w:type="character" w:styleId="1022" w:customStyle="1">
    <w:name w:val="Подпись к таблице + 13 pt"/>
    <w:rPr>
      <w:rFonts w:cs="Times New Roman"/>
      <w:color w:val="000000"/>
      <w:spacing w:val="1"/>
      <w:position w:val="0"/>
      <w:sz w:val="26"/>
      <w:szCs w:val="26"/>
      <w:shd w:val="clear" w:color="auto" w:fill="ffffff"/>
      <w:lang w:val="ru-RU" w:bidi="ar-SA"/>
    </w:rPr>
  </w:style>
  <w:style w:type="character" w:styleId="1023" w:customStyle="1">
    <w:name w:val="fontstyle01"/>
    <w:basedOn w:val="739"/>
    <w:rPr>
      <w:rFonts w:hint="default" w:ascii="Times New Roman" w:hAnsi="Times New Roman" w:cs="Times New Roman"/>
      <w:b w:val="0"/>
      <w:bCs w:val="0"/>
      <w:i w:val="0"/>
      <w:iCs w:val="0"/>
      <w:color w:val="000000"/>
      <w:sz w:val="26"/>
      <w:szCs w:val="26"/>
    </w:rPr>
  </w:style>
  <w:style w:type="paragraph" w:styleId="1024" w:customStyle="1">
    <w:name w:val="msonormal"/>
    <w:basedOn w:val="729"/>
    <w:pPr>
      <w:spacing w:before="100" w:beforeAutospacing="1" w:after="100" w:afterAutospacing="1"/>
    </w:pPr>
  </w:style>
  <w:style w:type="paragraph" w:styleId="1025" w:customStyle="1">
    <w:name w:val="xl63"/>
    <w:basedOn w:val="729"/>
    <w:pPr>
      <w:spacing w:before="100" w:beforeAutospacing="1" w:after="100" w:afterAutospacing="1"/>
    </w:pPr>
  </w:style>
  <w:style w:type="paragraph" w:styleId="1026" w:customStyle="1">
    <w:name w:val="xl64"/>
    <w:basedOn w:val="729"/>
    <w:pPr>
      <w:spacing w:before="100" w:beforeAutospacing="1" w:after="100" w:afterAutospacing="1"/>
    </w:pPr>
  </w:style>
  <w:style w:type="paragraph" w:styleId="1027" w:customStyle="1">
    <w:name w:val="xl65"/>
    <w:basedOn w:val="72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</w:rPr>
  </w:style>
  <w:style w:type="paragraph" w:styleId="1028" w:customStyle="1">
    <w:name w:val="xl66"/>
    <w:basedOn w:val="72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</w:rPr>
  </w:style>
  <w:style w:type="paragraph" w:styleId="1029" w:customStyle="1">
    <w:name w:val="xl67"/>
    <w:basedOn w:val="72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</w:rPr>
  </w:style>
  <w:style w:type="paragraph" w:styleId="1030" w:customStyle="1">
    <w:name w:val="xl68"/>
    <w:basedOn w:val="72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</w:rPr>
  </w:style>
  <w:style w:type="paragraph" w:styleId="1031" w:customStyle="1">
    <w:name w:val="xl69"/>
    <w:basedOn w:val="72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</w:style>
  <w:style w:type="character" w:styleId="1032" w:customStyle="1">
    <w:name w:val="_15p46jhr"/>
    <w:basedOn w:val="739"/>
  </w:style>
  <w:style w:type="character" w:styleId="1033" w:customStyle="1">
    <w:name w:val="Основной текст (2)_"/>
    <w:basedOn w:val="739"/>
    <w:link w:val="1034"/>
    <w:uiPriority w:val="99"/>
    <w:rPr>
      <w:b/>
      <w:bCs/>
      <w:spacing w:val="-4"/>
      <w:sz w:val="45"/>
      <w:szCs w:val="45"/>
      <w:shd w:val="clear" w:color="auto" w:fill="ffffff"/>
    </w:rPr>
  </w:style>
  <w:style w:type="paragraph" w:styleId="1034" w:customStyle="1">
    <w:name w:val="Основной текст (2)"/>
    <w:basedOn w:val="729"/>
    <w:link w:val="1033"/>
    <w:uiPriority w:val="99"/>
    <w:pPr>
      <w:jc w:val="center"/>
      <w:spacing w:after="600" w:line="634" w:lineRule="exact"/>
      <w:shd w:val="clear" w:color="auto" w:fill="ffffff"/>
      <w:widowControl w:val="off"/>
    </w:pPr>
    <w:rPr>
      <w:b/>
      <w:bCs/>
      <w:spacing w:val="-4"/>
      <w:sz w:val="45"/>
      <w:szCs w:val="45"/>
    </w:rPr>
  </w:style>
  <w:style w:type="character" w:styleId="1035" w:customStyle="1">
    <w:name w:val="Основной текст (3)_"/>
    <w:basedOn w:val="739"/>
    <w:link w:val="1036"/>
    <w:uiPriority w:val="99"/>
    <w:rPr>
      <w:b/>
      <w:bCs/>
      <w:spacing w:val="1"/>
      <w:sz w:val="37"/>
      <w:szCs w:val="37"/>
      <w:shd w:val="clear" w:color="auto" w:fill="ffffff"/>
    </w:rPr>
  </w:style>
  <w:style w:type="paragraph" w:styleId="1036" w:customStyle="1">
    <w:name w:val="Основной текст (3)"/>
    <w:basedOn w:val="729"/>
    <w:link w:val="1035"/>
    <w:uiPriority w:val="99"/>
    <w:pPr>
      <w:jc w:val="center"/>
      <w:spacing w:before="600" w:after="720" w:line="240" w:lineRule="atLeast"/>
      <w:shd w:val="clear" w:color="auto" w:fill="ffffff"/>
      <w:widowControl w:val="off"/>
    </w:pPr>
    <w:rPr>
      <w:b/>
      <w:bCs/>
      <w:spacing w:val="1"/>
      <w:sz w:val="37"/>
      <w:szCs w:val="37"/>
    </w:rPr>
  </w:style>
  <w:style w:type="character" w:styleId="1037" w:customStyle="1">
    <w:name w:val="Основной текст_"/>
    <w:link w:val="1038"/>
    <w:uiPriority w:val="99"/>
    <w:rPr>
      <w:spacing w:val="1"/>
      <w:shd w:val="clear" w:color="auto" w:fill="ffffff"/>
    </w:rPr>
  </w:style>
  <w:style w:type="paragraph" w:styleId="1038" w:customStyle="1">
    <w:name w:val="Основной текст3"/>
    <w:basedOn w:val="729"/>
    <w:link w:val="1037"/>
    <w:uiPriority w:val="99"/>
    <w:pPr>
      <w:ind w:hanging="720"/>
      <w:jc w:val="center"/>
      <w:spacing w:before="5940" w:line="240" w:lineRule="atLeast"/>
      <w:shd w:val="clear" w:color="auto" w:fill="ffffff"/>
      <w:widowControl w:val="off"/>
    </w:pPr>
    <w:rPr>
      <w:spacing w:val="1"/>
      <w:sz w:val="20"/>
    </w:rPr>
  </w:style>
  <w:style w:type="paragraph" w:styleId="1039" w:customStyle="1">
    <w:name w:val="Основной текст с отступом1"/>
    <w:basedOn w:val="729"/>
    <w:pPr>
      <w:ind w:firstLine="720"/>
      <w:jc w:val="both"/>
    </w:pPr>
    <w:rPr>
      <w:sz w:val="28"/>
    </w:rPr>
  </w:style>
  <w:style w:type="paragraph" w:styleId="1040">
    <w:name w:val="No Spacing"/>
    <w:uiPriority w:val="1"/>
    <w:qFormat/>
    <w:rPr>
      <w:sz w:val="24"/>
    </w:rPr>
  </w:style>
  <w:style w:type="paragraph" w:styleId="1041" w:customStyle="1">
    <w:name w:val="font6"/>
    <w:basedOn w:val="729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styleId="1042" w:customStyle="1">
    <w:name w:val="xl91"/>
    <w:basedOn w:val="72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</w:style>
  <w:style w:type="paragraph" w:styleId="1043" w:customStyle="1">
    <w:name w:val="xl92"/>
    <w:basedOn w:val="729"/>
    <w:pPr>
      <w:spacing w:before="100" w:beforeAutospacing="1" w:after="100" w:afterAutospacing="1"/>
    </w:pPr>
  </w:style>
  <w:style w:type="paragraph" w:styleId="1044" w:customStyle="1">
    <w:name w:val="xl93"/>
    <w:basedOn w:val="729"/>
    <w:pPr>
      <w:jc w:val="center"/>
      <w:spacing w:before="100" w:beforeAutospacing="1" w:after="100" w:afterAutospacing="1"/>
      <w:shd w:val="clear" w:color="000000" w:fill="fce4d6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</w:style>
  <w:style w:type="paragraph" w:styleId="1045" w:customStyle="1">
    <w:name w:val="xl94"/>
    <w:basedOn w:val="729"/>
    <w:pPr>
      <w:jc w:val="center"/>
      <w:spacing w:before="100" w:beforeAutospacing="1" w:after="100" w:afterAutospacing="1"/>
      <w:shd w:val="clear" w:color="000000" w:fill="fce4d6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color w:val="000000"/>
    </w:rPr>
  </w:style>
  <w:style w:type="paragraph" w:styleId="1046" w:customStyle="1">
    <w:name w:val="xl95"/>
    <w:basedOn w:val="729"/>
    <w:pPr>
      <w:spacing w:before="100" w:beforeAutospacing="1" w:after="100" w:afterAutospacing="1"/>
      <w:shd w:val="clear" w:color="000000" w:fill="fce4d6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color w:val="000000"/>
    </w:rPr>
  </w:style>
  <w:style w:type="paragraph" w:styleId="1047" w:customStyle="1">
    <w:name w:val="xl96"/>
    <w:basedOn w:val="729"/>
    <w:pPr>
      <w:jc w:val="center"/>
      <w:spacing w:before="100" w:beforeAutospacing="1" w:after="100" w:afterAutospacing="1"/>
      <w:shd w:val="clear" w:color="000000" w:fill="fce4d6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color w:val="000000"/>
    </w:rPr>
  </w:style>
  <w:style w:type="paragraph" w:styleId="1048" w:customStyle="1">
    <w:name w:val="xl97"/>
    <w:basedOn w:val="729"/>
    <w:pPr>
      <w:jc w:val="center"/>
      <w:spacing w:before="100" w:beforeAutospacing="1" w:after="100" w:afterAutospacing="1"/>
      <w:shd w:val="clear" w:color="000000" w:fill="fce4d6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color w:val="000000"/>
    </w:rPr>
  </w:style>
  <w:style w:type="paragraph" w:styleId="1049" w:customStyle="1">
    <w:name w:val="xl98"/>
    <w:basedOn w:val="729"/>
    <w:pPr>
      <w:spacing w:before="100" w:beforeAutospacing="1" w:after="100" w:afterAutospacing="1"/>
      <w:shd w:val="clear" w:color="000000" w:fill="fce4d6"/>
    </w:pPr>
    <w:rPr>
      <w:b/>
      <w:bCs/>
    </w:rPr>
  </w:style>
  <w:style w:type="paragraph" w:styleId="1050" w:customStyle="1">
    <w:name w:val="xl99"/>
    <w:basedOn w:val="729"/>
    <w:pPr>
      <w:spacing w:before="100" w:beforeAutospacing="1" w:after="100" w:afterAutospacing="1"/>
      <w:shd w:val="clear" w:color="000000" w:fill="fce4d6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</w:style>
  <w:style w:type="paragraph" w:styleId="1051" w:customStyle="1">
    <w:name w:val="xl100"/>
    <w:basedOn w:val="72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color w:val="000000"/>
    </w:rPr>
  </w:style>
  <w:style w:type="paragraph" w:styleId="1052" w:customStyle="1">
    <w:name w:val="xl101"/>
    <w:basedOn w:val="729"/>
    <w:pPr>
      <w:jc w:val="center"/>
      <w:spacing w:before="100" w:beforeAutospacing="1" w:after="100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</w:rPr>
  </w:style>
  <w:style w:type="paragraph" w:styleId="1053" w:customStyle="1">
    <w:name w:val="xl102"/>
    <w:basedOn w:val="72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color w:val="000000"/>
    </w:rPr>
  </w:style>
  <w:style w:type="paragraph" w:styleId="1054" w:customStyle="1">
    <w:name w:val="xl103"/>
    <w:basedOn w:val="729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color w:val="000000"/>
    </w:rPr>
  </w:style>
  <w:style w:type="paragraph" w:styleId="1055" w:customStyle="1">
    <w:name w:val="xl104"/>
    <w:basedOn w:val="729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color w:val="000000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footer" Target="footer1.xml" /><Relationship Id="rId12" Type="http://schemas.openxmlformats.org/officeDocument/2006/relationships/footer" Target="footer2.xml" /><Relationship Id="rId13" Type="http://schemas.openxmlformats.org/officeDocument/2006/relationships/customXml" Target="../customXml/item1.xml" /><Relationship Id="rId14" Type="http://schemas.openxmlformats.org/officeDocument/2006/relationships/hyperlink" Target="https://2gis.ru/firm/70000001046452738" TargetMode="External"/><Relationship Id="rId15" Type="http://schemas.openxmlformats.org/officeDocument/2006/relationships/hyperlink" Target="https://login.consultant.ru/link/?req=doc&amp;base=LAW&amp;n=438469&amp;date=20.02.2023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EF9B2A-E09F-4CF3-8533-4268326350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MoBIL GROUP</Company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Татьяна Жданкина</dc:creator>
  <cp:keywords/>
  <dc:description/>
  <cp:revision>85</cp:revision>
  <dcterms:created xsi:type="dcterms:W3CDTF">2024-07-17T06:52:00Z</dcterms:created>
  <dcterms:modified xsi:type="dcterms:W3CDTF">2025-05-23T06:53:56Z</dcterms:modified>
</cp:coreProperties>
</file>