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65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/>
      <w:bookmarkStart w:id="0" w:name="sub_100000"/>
      <w:r>
        <w:rPr>
          <w:rFonts w:ascii="Times New Roman" w:hAnsi="Times New Roman"/>
          <w:b/>
          <w:color w:val="000000"/>
          <w:sz w:val="24"/>
          <w:szCs w:val="24"/>
        </w:rPr>
        <w:t xml:space="preserve">Российская Федерация</w:t>
      </w:r>
      <w:r>
        <w:rPr>
          <w:rFonts w:ascii="Times New Roman" w:hAnsi="Times New Roman"/>
          <w:b/>
          <w:color w:val="000000"/>
          <w:sz w:val="24"/>
          <w:szCs w:val="24"/>
        </w:rPr>
      </w: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865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Иркутская область</w:t>
      </w:r>
      <w:r>
        <w:rPr>
          <w:rFonts w:ascii="Times New Roman" w:hAnsi="Times New Roman"/>
          <w:b/>
          <w:color w:val="000000"/>
          <w:sz w:val="24"/>
          <w:szCs w:val="24"/>
        </w:rPr>
      </w: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865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Муниципальное образование «Тайшетский район» </w:t>
      </w:r>
      <w:r>
        <w:rPr>
          <w:rFonts w:ascii="Times New Roman" w:hAnsi="Times New Roman"/>
          <w:b/>
          <w:color w:val="000000"/>
          <w:sz w:val="24"/>
          <w:szCs w:val="24"/>
        </w:rPr>
      </w: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865"/>
        <w:jc w:val="center"/>
        <w:rPr>
          <w:rFonts w:ascii="Times New Roman" w:hAnsi="Times New Roman"/>
          <w:b/>
          <w:bCs/>
          <w:color w:val="000000"/>
          <w:sz w:val="24"/>
          <w:szCs w:val="24"/>
          <w:highlight w:val="none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Тайшетское муниципальное образование </w:t>
      </w:r>
      <w:r>
        <w:rPr>
          <w:rFonts w:ascii="Times New Roman" w:hAnsi="Times New Roman"/>
          <w:b/>
          <w:bCs/>
          <w:color w:val="000000"/>
          <w:sz w:val="24"/>
          <w:szCs w:val="24"/>
          <w:highlight w:val="none"/>
        </w:rPr>
      </w:r>
      <w:r>
        <w:rPr>
          <w:rFonts w:ascii="Times New Roman" w:hAnsi="Times New Roman"/>
          <w:b/>
          <w:bCs/>
          <w:color w:val="000000"/>
          <w:sz w:val="24"/>
          <w:szCs w:val="24"/>
          <w:highlight w:val="none"/>
        </w:rPr>
      </w:r>
    </w:p>
    <w:p>
      <w:pPr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  <w:highlight w:val="none"/>
        </w:rPr>
        <w:t xml:space="preserve">«Тайшетское городское поселение»</w:t>
      </w:r>
      <w:r>
        <w:rPr>
          <w:rFonts w:ascii="Times New Roman" w:hAnsi="Times New Roman"/>
          <w:b/>
          <w:bCs/>
          <w:color w:val="000000"/>
          <w:sz w:val="24"/>
          <w:szCs w:val="24"/>
        </w:rPr>
      </w:r>
      <w:r>
        <w:rPr>
          <w:rFonts w:ascii="Times New Roman" w:hAnsi="Times New Roman"/>
          <w:b/>
          <w:bCs/>
          <w:color w:val="000000"/>
          <w:sz w:val="24"/>
          <w:szCs w:val="24"/>
        </w:rPr>
      </w:r>
    </w:p>
    <w:p>
      <w:pPr>
        <w:pStyle w:val="865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АДМИНИСТРАЦИЯ ТАЙШЕТСКОГО ГОРОДСКОГО ПОС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Е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ЛЕНИЯ </w:t>
      </w:r>
      <w:r>
        <w:rPr>
          <w:rFonts w:ascii="Times New Roman" w:hAnsi="Times New Roman"/>
          <w:b/>
          <w:color w:val="000000"/>
          <w:sz w:val="28"/>
          <w:szCs w:val="28"/>
        </w:rPr>
      </w: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865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865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П О С Т А Н О В Л Е Н И Е</w:t>
      </w:r>
      <w:r>
        <w:rPr>
          <w:rFonts w:ascii="Times New Roman" w:hAnsi="Times New Roman"/>
          <w:b/>
          <w:color w:val="000000"/>
          <w:sz w:val="28"/>
          <w:szCs w:val="28"/>
        </w:rPr>
      </w: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86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От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16.05.2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0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5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г.</w:t>
        <w:tab/>
        <w:tab/>
        <w:tab/>
        <w:tab/>
        <w:t xml:space="preserve">г.Тайшет</w:t>
        <w:tab/>
        <w:tab/>
        <w:tab/>
        <w:tab/>
        <w:tab/>
        <w:t xml:space="preserve">№400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91"/>
        <w:ind w:right="4989"/>
        <w:jc w:val="both"/>
        <w:spacing w:after="0" w:line="240" w:lineRule="auto"/>
        <w:tabs>
          <w:tab w:val="left" w:pos="708" w:leader="none"/>
          <w:tab w:val="center" w:pos="4536" w:leader="none"/>
          <w:tab w:val="clear" w:pos="4677" w:leader="none"/>
          <w:tab w:val="clear" w:pos="9355" w:leader="none"/>
        </w:tabs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О реализации муниципальной программы «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Сохранение и развитие культуры в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Тайшетско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м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город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ско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м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поселени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и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на 20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-202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6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годы», утвержденной постановлением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администрации Тайшетского городского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посе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ления от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01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декабря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20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года №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1053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в 20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году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ind w:right="4"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Р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уководствуясь ст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атьей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179 Бюджетного кодекса Р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оссийской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Ф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едерации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Фед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ральным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з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аконом «Об общих принципах организации местного самоуправления в Росси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й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ской Федера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ции», статьями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6, 7,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46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Устава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Тайшетского муниципального образования «Та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й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шетское городское поселение», постановлением администрации Тайшетского городского п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о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селения от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08 июня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20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20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г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ода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№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458 « Об утверждении порядка разработки, реализации и оценки эффективности муниципальных программ Тайшетского муниципального образования «Тайшетское городское поселение» (в редакции постановления от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29 июля 2020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года №621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«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 внесении изменений в порядок разработки, реализации и оценки эффективности муниц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пальных программ Тайшетского муниципального образования «Тайшетское городское п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селение»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ад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министрация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Тайшетского городского посел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е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ния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П О С Т А Н О В Л Я Е Т:</w:t>
      </w:r>
      <w:r>
        <w:rPr>
          <w:rFonts w:ascii="Times New Roman" w:hAnsi="Times New Roman"/>
          <w:b/>
          <w:color w:val="000000"/>
          <w:sz w:val="28"/>
          <w:szCs w:val="28"/>
        </w:rPr>
      </w: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86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1. Признать реализацию муниципальной программы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«Сохранение и развитие кул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ь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туры в Тайшет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ском городском поселении на 202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-202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6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годы»,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утвержденной постановл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нием администрации Тайшетског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 городского поселения от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01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декабря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20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года №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1053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в части исполнения мероприятий за 20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од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эффективной и утвердить отчет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(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прилож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ние).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2. Отделу по организационной работе, контролю и делопроизводству администр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ции Тайшетского городского поселения (Бычкова В.Д.) обеспечить опубликование данн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го постановления в средствах массовой инфо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р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мации.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jc w:val="both"/>
        <w:rPr>
          <w:rFonts w:ascii="Times New Roman" w:hAnsi="Times New Roman"/>
          <w:color w:val="000000" w:themeColor="text1"/>
          <w:sz w:val="24"/>
          <w:szCs w:val="24"/>
          <w:highlight w:val="none"/>
        </w:rPr>
      </w:pP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</w:p>
    <w:p>
      <w:pPr>
        <w:jc w:val="both"/>
        <w:rPr>
          <w:rFonts w:ascii="Times New Roman" w:hAnsi="Times New Roman"/>
          <w:color w:val="000000" w:themeColor="text1"/>
          <w:sz w:val="24"/>
          <w:szCs w:val="24"/>
          <w:highlight w:val="none"/>
        </w:rPr>
      </w:pP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</w:p>
    <w:p>
      <w:pPr>
        <w:jc w:val="both"/>
        <w:rPr>
          <w:rFonts w:ascii="Times New Roman" w:hAnsi="Times New Roman"/>
          <w:color w:val="000000" w:themeColor="text1"/>
          <w:sz w:val="24"/>
          <w:szCs w:val="24"/>
          <w:highlight w:val="none"/>
        </w:rPr>
      </w:pP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</w:p>
    <w:p>
      <w:pPr>
        <w:pStyle w:val="865"/>
        <w:jc w:val="both"/>
        <w:rPr>
          <w:rFonts w:ascii="Times New Roman" w:hAnsi="Times New Roman"/>
          <w:color w:val="000000" w:themeColor="text1"/>
          <w:sz w:val="24"/>
          <w:szCs w:val="24"/>
          <w:highlight w:val="none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Г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лав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а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Тайшетского </w:t>
      </w: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/>
          <w:color w:val="000000" w:themeColor="text1"/>
          <w:sz w:val="24"/>
          <w:szCs w:val="24"/>
          <w:highlight w:val="none"/>
        </w:rPr>
      </w:r>
    </w:p>
    <w:p>
      <w:pPr>
        <w:pStyle w:val="86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городского поселения</w:t>
        <w:tab/>
        <w:tab/>
        <w:tab/>
        <w:tab/>
        <w:tab/>
        <w:tab/>
        <w:tab/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Р.О. Леоненко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Исп.: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Малородная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.В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89914340232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Приложение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865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к постановлению администрации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865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Тайшетского городского поселения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865"/>
        <w:jc w:val="right"/>
        <w:rPr>
          <w:rFonts w:ascii="Times New Roman" w:hAnsi="Times New Roman"/>
          <w:color w:val="000000"/>
          <w:sz w:val="24"/>
          <w:szCs w:val="24"/>
          <w:highlight w:val="none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от 16 мая </w:t>
      </w:r>
      <w:r>
        <w:rPr>
          <w:rFonts w:ascii="Times New Roman" w:hAnsi="Times New Roman"/>
          <w:color w:val="000000"/>
          <w:sz w:val="24"/>
          <w:szCs w:val="24"/>
        </w:rPr>
        <w:t xml:space="preserve">20</w:t>
      </w:r>
      <w:r>
        <w:rPr>
          <w:rFonts w:ascii="Times New Roman" w:hAnsi="Times New Roman"/>
          <w:color w:val="000000"/>
          <w:sz w:val="24"/>
          <w:szCs w:val="24"/>
        </w:rPr>
        <w:t xml:space="preserve">2</w:t>
      </w:r>
      <w:r>
        <w:rPr>
          <w:rFonts w:ascii="Times New Roman" w:hAnsi="Times New Roman"/>
          <w:color w:val="000000"/>
          <w:sz w:val="24"/>
          <w:szCs w:val="24"/>
        </w:rPr>
        <w:t xml:space="preserve">5 года №400</w:t>
      </w:r>
      <w:r>
        <w:rPr>
          <w:rFonts w:ascii="Times New Roman" w:hAnsi="Times New Roman"/>
          <w:color w:val="000000"/>
          <w:sz w:val="24"/>
          <w:szCs w:val="24"/>
          <w:highlight w:val="none"/>
        </w:rPr>
      </w:r>
      <w:r>
        <w:rPr>
          <w:rFonts w:ascii="Times New Roman" w:hAnsi="Times New Roman"/>
          <w:color w:val="000000"/>
          <w:sz w:val="24"/>
          <w:szCs w:val="24"/>
          <w:highlight w:val="none"/>
        </w:rPr>
      </w:r>
    </w:p>
    <w:p>
      <w:pPr>
        <w:jc w:val="right"/>
        <w:rPr>
          <w:rFonts w:ascii="Times New Roman" w:hAnsi="Times New Roman"/>
          <w:b w:val="0"/>
          <w:bCs w:val="0"/>
          <w:color w:val="000000"/>
          <w:sz w:val="24"/>
          <w:szCs w:val="24"/>
        </w:rPr>
      </w:pPr>
      <w:r>
        <w:rPr>
          <w:rFonts w:ascii="Times New Roman" w:hAnsi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rFonts w:ascii="Times New Roman" w:hAnsi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rFonts w:ascii="Times New Roman" w:hAnsi="Times New Roman"/>
          <w:b w:val="0"/>
          <w:bCs w:val="0"/>
          <w:color w:val="000000"/>
          <w:sz w:val="24"/>
          <w:szCs w:val="24"/>
        </w:rPr>
      </w:r>
    </w:p>
    <w:p>
      <w:pPr>
        <w:pStyle w:val="865"/>
        <w:jc w:val="center"/>
        <w:rPr>
          <w:rFonts w:ascii="Times New Roman" w:hAnsi="Times New Roman"/>
          <w:b w:val="0"/>
          <w:bCs w:val="0"/>
          <w:color w:val="000000"/>
          <w:sz w:val="24"/>
          <w:szCs w:val="24"/>
        </w:rPr>
      </w:pPr>
      <w:r>
        <w:rPr>
          <w:rFonts w:ascii="Times New Roman" w:hAnsi="Times New Roman"/>
          <w:b w:val="0"/>
          <w:bCs w:val="0"/>
          <w:color w:val="000000"/>
          <w:sz w:val="24"/>
          <w:szCs w:val="24"/>
        </w:rPr>
        <w:t xml:space="preserve">О Т Ч Е Т</w:t>
      </w:r>
      <w:r>
        <w:rPr>
          <w:rFonts w:ascii="Times New Roman" w:hAnsi="Times New Roman"/>
          <w:b w:val="0"/>
          <w:bCs w:val="0"/>
          <w:color w:val="000000"/>
          <w:sz w:val="24"/>
          <w:szCs w:val="24"/>
        </w:rPr>
      </w:r>
      <w:r>
        <w:rPr>
          <w:rFonts w:ascii="Times New Roman" w:hAnsi="Times New Roman"/>
          <w:b w:val="0"/>
          <w:bCs w:val="0"/>
          <w:color w:val="000000"/>
          <w:sz w:val="24"/>
          <w:szCs w:val="24"/>
        </w:rPr>
      </w:r>
    </w:p>
    <w:p>
      <w:pPr>
        <w:pStyle w:val="865"/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Досуг и культурные мероприятия для жителей Тайшета организовывались в 2024 году в рамках целевой муниципальной программы «Сохранение и развитие культуры в Тайшетском городском поселении на 2024-202</w:t>
      </w: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 годы». В прошлом году прошли все запланированные традиционные общегородские мероприятия - «Масленица», День Защитника Отечества, День Победы, День защиты детей, День России, День молодёжи, День города и металлурга. Впервые в городе массово про</w:t>
      </w:r>
      <w:r>
        <w:rPr>
          <w:rFonts w:ascii="Times New Roman" w:hAnsi="Times New Roman"/>
          <w:sz w:val="24"/>
          <w:szCs w:val="24"/>
        </w:rPr>
        <w:t xml:space="preserve">шёл День флага России.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2024-й год в нашей стране был объявлен Президентом Российской Федерации годом семьи, поэтому особое внимание в этом году уделялось чествованию семей. Так, в День города и в День металлурга прошло чествование супругов, чей семейный стаж составляет 10, </w:t>
      </w:r>
      <w:r>
        <w:rPr>
          <w:rFonts w:ascii="Times New Roman" w:hAnsi="Times New Roman"/>
          <w:sz w:val="24"/>
          <w:szCs w:val="24"/>
        </w:rPr>
        <w:t xml:space="preserve">20, 30, 40 и 50 лет, а также молодожёнов, чья свадьба состоялась в День города – 22 июля.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конце августа наш город присоединился к всероссийскому проекту «Большие семейные выходные». С самого утра тайшетцев ждали развлекательные мероприятия в городском па</w:t>
      </w:r>
      <w:r>
        <w:rPr>
          <w:rFonts w:ascii="Times New Roman" w:hAnsi="Times New Roman"/>
          <w:sz w:val="24"/>
          <w:szCs w:val="24"/>
        </w:rPr>
        <w:t xml:space="preserve">рке. Для ребят и их родителей работали интерактивные площадки и мастер-классы, организованные сотрудниками библиотеки и участниками местного отделения всероссийской молодёжной организации «Движения Первых». В ноябре 2024 года в рамках Года семьи и празднов</w:t>
      </w:r>
      <w:r>
        <w:rPr>
          <w:rFonts w:ascii="Times New Roman" w:hAnsi="Times New Roman"/>
          <w:sz w:val="24"/>
          <w:szCs w:val="24"/>
        </w:rPr>
        <w:t xml:space="preserve">ания Дня народного единства прошёл конкурс национальных культур «Русский мир – Россия». Пять замещающих семей с детьми, оставшимися без попечения родителей, приняли участие, в празднике и представили Россию, Белоруссию, Бурятию, Чувашскую республику и Удму</w:t>
      </w:r>
      <w:r>
        <w:rPr>
          <w:rFonts w:ascii="Times New Roman" w:hAnsi="Times New Roman"/>
          <w:sz w:val="24"/>
          <w:szCs w:val="24"/>
        </w:rPr>
        <w:t xml:space="preserve">ртию во всей красе - от истории, национальных традиций, в песнях-плясках и до вкуснейших блюд. В рамках Года семьи с начала 2024 года в Тайшетской библиотеке шла реализация проекта «Подростки 38: Семейный ивент». В течение всего года подростки и родители и</w:t>
      </w:r>
      <w:r>
        <w:rPr>
          <w:rFonts w:ascii="Times New Roman" w:hAnsi="Times New Roman"/>
          <w:sz w:val="24"/>
          <w:szCs w:val="24"/>
        </w:rPr>
        <w:t xml:space="preserve">мели возможность получать грамотную квалифицированную помощь психолога, а также принимать участие в семейных праздниках, способствующих взаимопониманию «отцов и детей». .В результате реализации проекта библиотека получила современную комфортную мебель, наб</w:t>
      </w:r>
      <w:r>
        <w:rPr>
          <w:rFonts w:ascii="Times New Roman" w:hAnsi="Times New Roman"/>
          <w:sz w:val="24"/>
          <w:szCs w:val="24"/>
        </w:rPr>
        <w:t xml:space="preserve">ор настольных игр и годовую программу для работы подросткового клуба. 15 августа на Событийной площади в городском парке прошёл «Космический хоровод» под лозунгом «Россия – моя семья!»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Также в августе (29 числа) в рамках Года семьи в городской библиотеке п</w:t>
      </w:r>
      <w:r>
        <w:rPr>
          <w:rFonts w:ascii="Times New Roman" w:hAnsi="Times New Roman"/>
          <w:sz w:val="24"/>
          <w:szCs w:val="24"/>
        </w:rPr>
        <w:t xml:space="preserve">рошла акция «Счастливая семья» для ребятишек, чьи отцы принимают участие в спецоперации на Украине.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течение всего года на официальных страницах администрации в социальных сетях (Телеграм, «Одноклассники» и «ВКонтакте») проходила акция «Счастливая семья»,</w:t>
      </w:r>
      <w:r>
        <w:t xml:space="preserve"> </w:t>
      </w:r>
      <w:r>
        <w:rPr>
          <w:rFonts w:ascii="Times New Roman" w:hAnsi="Times New Roman"/>
          <w:sz w:val="24"/>
          <w:szCs w:val="24"/>
        </w:rPr>
        <w:t xml:space="preserve">организованная совместно с Тайшетским отделом ЗАГС, в рамках которой жителей информировали, сколько семейных пар образовалось в городе в тот или иной месяц</w:t>
      </w:r>
      <w:r>
        <w:rPr>
          <w:rFonts w:ascii="Times New Roman" w:hAnsi="Times New Roman"/>
          <w:sz w:val="24"/>
          <w:szCs w:val="24"/>
        </w:rPr>
        <w:t xml:space="preserve">. И ещё одним событием ознаменовался 2024 год в Тайшете – 50-летием начала строительства БАМа.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рамках этого события в течение года в городе прошёл ряд мероприятий. Силами Библиотечного объединения города Тайшета совместно с Тайшетской технической библиот</w:t>
      </w:r>
      <w:r>
        <w:rPr>
          <w:rFonts w:ascii="Times New Roman" w:hAnsi="Times New Roman"/>
          <w:sz w:val="24"/>
          <w:szCs w:val="24"/>
        </w:rPr>
        <w:t xml:space="preserve">екой ОАО «РЖД» была организована выставка «Дорога мужества и славы», где собрали уникальные книги, архивные публикации и фотографии легендарной стройки.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рамках празднования 50-летия начала строительства Байкало-Амурской магистрали в городской библиотеке </w:t>
      </w:r>
      <w:r>
        <w:rPr>
          <w:rFonts w:ascii="Times New Roman" w:hAnsi="Times New Roman"/>
          <w:sz w:val="24"/>
          <w:szCs w:val="24"/>
        </w:rPr>
        <w:t xml:space="preserve">прошла торжественная церемония гашения марки, выпущенной в честь Юбилея БАМа.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Также в честь этого события 4 июля в Тайшет прибыл юбилейный бамовский поезд с легендарными строителями БАМа. Поезд простоял на станции Тайшет более 6 часов. Для бамовцев была ор</w:t>
      </w:r>
      <w:r>
        <w:rPr>
          <w:rFonts w:ascii="Times New Roman" w:hAnsi="Times New Roman"/>
          <w:sz w:val="24"/>
          <w:szCs w:val="24"/>
        </w:rPr>
        <w:t xml:space="preserve">ганизована экскурсия по городу, праздничный концерт, а заключительным мероприятием стала «лента памяти», на которой они оставили свои автографы с пожеланиями тайшетцев.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марте 2024 года в честь юбилея БАМа стартовала областная фотовыставка «Бам в моей суд</w:t>
      </w:r>
      <w:r>
        <w:rPr>
          <w:rFonts w:ascii="Times New Roman" w:hAnsi="Times New Roman"/>
          <w:sz w:val="24"/>
          <w:szCs w:val="24"/>
        </w:rPr>
        <w:t xml:space="preserve">ьбе», которую организовали сотрудники Иркутской областной юношеской библиотеки им. И.П. Уткина. В конкурсе принимали участие юные фотографы из 4 городов региона, история которых тесно переплетается с БАМом, в том числе и из Тайшета. Работы троих наших школ</w:t>
      </w:r>
      <w:r>
        <w:rPr>
          <w:rFonts w:ascii="Times New Roman" w:hAnsi="Times New Roman"/>
          <w:sz w:val="24"/>
          <w:szCs w:val="24"/>
        </w:rPr>
        <w:t xml:space="preserve">ьников стали победителями фотоконкурса. Они были представлены на выставке сюжетной фотографии и напечатаны в «бамовском» номере молодежного литературно-художественного альманаха «Первоцвет». С целью чествования ветеранов-бамовцев администрация приобрела 20</w:t>
      </w:r>
      <w:r>
        <w:rPr>
          <w:rFonts w:ascii="Times New Roman" w:hAnsi="Times New Roman"/>
          <w:sz w:val="24"/>
          <w:szCs w:val="24"/>
        </w:rPr>
        <w:t xml:space="preserve">0 юбилейных медалей «50 лет Байкало-Амурской магистрали». В честь 79-й годовщины Победы в Великой Отечественной войне в городе прошёл ряд мероприятий.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Традиционно празднование Великой Победы началось с участия во всероссийской акции «Георгиевская ленточка»</w:t>
      </w:r>
      <w:r>
        <w:rPr>
          <w:rFonts w:ascii="Times New Roman" w:hAnsi="Times New Roman"/>
          <w:sz w:val="24"/>
          <w:szCs w:val="24"/>
        </w:rPr>
        <w:t xml:space="preserve">, которая стартовала 27апреля. Всего за время проведения акции жителям города раздали порядка 2000 памятных ленточек. 9 Мая в Тайшете прошли торжественные митинги в честь воинов- победителей на территории локомотивного депо, Мемориального комплекса на улиц</w:t>
      </w:r>
      <w:r>
        <w:rPr>
          <w:rFonts w:ascii="Times New Roman" w:hAnsi="Times New Roman"/>
          <w:sz w:val="24"/>
          <w:szCs w:val="24"/>
        </w:rPr>
        <w:t xml:space="preserve">е XIX Партсъезда, на привокзальной площади и площади Юбилейной. В день Победы глава города встретился с фронтовиками, проживающими в Тайшете. Их осталось двое – Лукьян Акиндинович Басаргин и Владимир Павлович Кальянов. В проведении городских мероприятий ак</w:t>
      </w:r>
      <w:r>
        <w:rPr>
          <w:rFonts w:ascii="Times New Roman" w:hAnsi="Times New Roman"/>
          <w:sz w:val="24"/>
          <w:szCs w:val="24"/>
        </w:rPr>
        <w:t xml:space="preserve">тивное участие принимали работн</w:t>
      </w:r>
      <w:r>
        <w:rPr>
          <w:rFonts w:ascii="Times New Roman" w:hAnsi="Times New Roman"/>
          <w:sz w:val="24"/>
          <w:szCs w:val="24"/>
        </w:rPr>
        <w:t xml:space="preserve">ики Библиотечного объединения города Тайшета.</w:t>
      </w:r>
      <w:r>
        <w:rPr>
          <w:rFonts w:ascii="Times New Roman" w:hAnsi="Times New Roman"/>
          <w:sz w:val="24"/>
          <w:szCs w:val="24"/>
        </w:rPr>
      </w:r>
    </w:p>
    <w:p>
      <w:pPr>
        <w:pStyle w:val="865"/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2024-й год для учреждения был плодотворным.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Благодаря победе в национальном проекте «Культура» 2 октября 2024 года на базе городской и детской библиотек состоялось открытие модельной би</w:t>
      </w:r>
      <w:r>
        <w:rPr>
          <w:rFonts w:ascii="Times New Roman" w:hAnsi="Times New Roman"/>
          <w:sz w:val="24"/>
          <w:szCs w:val="24"/>
        </w:rPr>
        <w:t xml:space="preserve">блиотеки, которая представляет собой инновационный центр знаний.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Помимо традиционных услуг сегодня в библиотеке можно получить доступ к электронным изданиям, выбрать удобный формат работы (индивидуальные занятия или массовые мероприятия) или просто отдохну</w:t>
      </w:r>
      <w:r>
        <w:rPr>
          <w:rFonts w:ascii="Times New Roman" w:hAnsi="Times New Roman"/>
          <w:sz w:val="24"/>
          <w:szCs w:val="24"/>
        </w:rPr>
        <w:t xml:space="preserve">ть в уютной обстановке. Кардинально преобразилось библиотечное пространство, которое разделено на несколько локаций: библиокафе, информационная зона, детский абонемент и другие. Для неформального общения имеются молодежные площадки «Продвижение» и «Подрост</w:t>
      </w:r>
      <w:r>
        <w:rPr>
          <w:rFonts w:ascii="Times New Roman" w:hAnsi="Times New Roman"/>
          <w:sz w:val="24"/>
          <w:szCs w:val="24"/>
        </w:rPr>
        <w:t xml:space="preserve">ки 38», оборудованные всем необходимым: периодикой для молодежи, телевизором, удобными креслами, есть стол-трансформер для проведения деловых встреч и игровых турниров, домашняя аудиосистема, караоке, фото-будка, фонд настольных дидактических игр.</w:t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На перео</w:t>
      </w:r>
      <w:r>
        <w:rPr>
          <w:rFonts w:ascii="Times New Roman" w:hAnsi="Times New Roman"/>
          <w:sz w:val="24"/>
          <w:szCs w:val="24"/>
        </w:rPr>
        <w:t xml:space="preserve">снащение библиотеки из федерального и регионального бюджетов было направлено 15 миллионов рублей. </w:t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Следующий проект – «ПроДворДвижение» удалось реализовать благодаря победе в грантовом конкурсе «Устойчивые города РУСАЛа». Автор и руководитель проекта – Яшин</w:t>
      </w:r>
      <w:r>
        <w:rPr>
          <w:rFonts w:ascii="Times New Roman" w:hAnsi="Times New Roman"/>
          <w:sz w:val="24"/>
          <w:szCs w:val="24"/>
        </w:rPr>
        <w:t xml:space="preserve">а О.Н., директор МКУ «БО» ТГП. В результате во дворе многоквартирного дома №1 по ул. Зои Космодемьянской появилась первая многофункциональная площадка в городе, предназначенная как для организации досуга жителей близлежащих домов, так и для самовыражения </w:t>
      </w:r>
      <w:r>
        <w:rPr>
          <w:rFonts w:ascii="Times New Roman" w:hAnsi="Times New Roman"/>
          <w:sz w:val="24"/>
          <w:szCs w:val="24"/>
        </w:rPr>
        <w:t xml:space="preserve">творческих и инициативных горожан.</w:t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2024 году при поддержке Благотворительного фонда Елены и Геннадия Тимченко продолжилась реализация проекта «С чистого листа», в рамках которого поддержку получали семьи, находящиеся в трудной жизненной ситуации. Работал</w:t>
      </w:r>
      <w:r>
        <w:rPr>
          <w:rFonts w:ascii="Times New Roman" w:hAnsi="Times New Roman"/>
          <w:sz w:val="24"/>
          <w:szCs w:val="24"/>
        </w:rPr>
        <w:t xml:space="preserve"> Центр социальной адаптации, в которой они приобрели навыки работы с ПК, Интернет-ресурсами, написания бизнес-планов и заключения социальных контактов. Представители библиотеки вошли в состав межведомственной комиссии по распределению государственных субси</w:t>
      </w:r>
      <w:r>
        <w:rPr>
          <w:rFonts w:ascii="Times New Roman" w:hAnsi="Times New Roman"/>
          <w:sz w:val="24"/>
          <w:szCs w:val="24"/>
        </w:rPr>
        <w:t xml:space="preserve">дии при получении социального контракта. Партнерами выступил Тайшетский филиал Кадрового центра Иркутской области. </w:t>
      </w:r>
      <w:r>
        <w:rPr>
          <w:rFonts w:ascii="Times New Roman" w:hAnsi="Times New Roman"/>
          <w:sz w:val="24"/>
          <w:szCs w:val="24"/>
        </w:rPr>
      </w:r>
    </w:p>
    <w:p>
      <w:pPr>
        <w:ind w:firstLine="720"/>
        <w:jc w:val="both"/>
        <w:widowControl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2024 году в полном объёме были проведены все запланированные мероприятия в рамках семи библиотечных программ. На базе городской библиотеки </w:t>
      </w:r>
      <w:r>
        <w:rPr>
          <w:rFonts w:ascii="Times New Roman" w:hAnsi="Times New Roman"/>
          <w:sz w:val="24"/>
          <w:szCs w:val="24"/>
        </w:rPr>
        <w:t xml:space="preserve">продолжили свою работу клубы по интересам – творческое объединение «Тайшет литературный», клуб ветеранов «Надежда», мастерская «Руки не крюки», детский центр чтения и творческого развития «Клуб смышлёных и начитанных», детская видеостудия «Важный Пиксель».</w:t>
      </w:r>
      <w:r/>
      <w:r/>
    </w:p>
    <w:p>
      <w:pPr>
        <w:pStyle w:val="865"/>
        <w:ind w:firstLine="720"/>
        <w:jc w:val="both"/>
        <w:widowControl/>
        <w:rPr>
          <w:rFonts w:ascii="Times New Roman" w:hAnsi="Times New Roman"/>
          <w:color w:val="000000" w:themeColor="text1"/>
          <w:sz w:val="27"/>
          <w:szCs w:val="27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Свою деятельность учреждение организовывало согласно муниципальной программе «Развитие библиотечного дела на территории Тайшетского муниципального образования «Тайшетское городское поселение» на 202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-202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6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годы.</w:t>
      </w:r>
      <w:r>
        <w:rPr>
          <w:rFonts w:ascii="Times New Roman" w:hAnsi="Times New Roman"/>
          <w:color w:val="000000" w:themeColor="text1"/>
          <w:sz w:val="27"/>
          <w:szCs w:val="27"/>
        </w:rPr>
      </w:r>
      <w:r>
        <w:rPr>
          <w:rFonts w:ascii="Times New Roman" w:hAnsi="Times New Roman"/>
          <w:color w:val="000000" w:themeColor="text1"/>
          <w:sz w:val="27"/>
          <w:szCs w:val="27"/>
        </w:rPr>
      </w:r>
    </w:p>
    <w:p>
      <w:pPr>
        <w:ind w:firstLine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ind w:firstLine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pP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pP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  <w:t xml:space="preserve">Начальник отдела по организационной работе,</w:t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pP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  <w:t xml:space="preserve">к</w:t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  <w:t xml:space="preserve">онтролю и делопроизводству администрации</w:t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pP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  <w:t xml:space="preserve">Тайшетского городского поселения</w:t>
        <w:tab/>
        <w:tab/>
        <w:tab/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  <w:tab/>
        <w:tab/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  <w:t xml:space="preserve">В.Д. Бычкова</w:t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pP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</w:p>
    <w:p>
      <w:pPr>
        <w:pStyle w:val="865"/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pP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  <w:r>
        <w:rPr>
          <w:rFonts w:ascii="Times New Roman" w:hAnsi="Times New Roman"/>
          <w:b w:val="0"/>
          <w:bCs w:val="0"/>
          <w:color w:val="000000" w:themeColor="text1"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65"/>
        <w:ind w:right="-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  <w:t xml:space="preserve">Приложение</w:t>
      </w:r>
      <w:r>
        <w:rPr>
          <w:rFonts w:ascii="Times New Roman" w:hAnsi="Times New Roman"/>
          <w:sz w:val="24"/>
          <w:szCs w:val="24"/>
        </w:rPr>
        <w:t xml:space="preserve"> 1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5"/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к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  <w:t xml:space="preserve"> отчету о реализации муниципальной</w:t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 пр</w:t>
      </w:r>
      <w:r>
        <w:rPr>
          <w:rFonts w:ascii="Times New Roman" w:hAnsi="Times New Roman"/>
          <w:color w:val="000000"/>
          <w:sz w:val="24"/>
          <w:szCs w:val="24"/>
        </w:rPr>
        <w:t xml:space="preserve">о</w:t>
      </w:r>
      <w:r>
        <w:rPr>
          <w:rFonts w:ascii="Times New Roman" w:hAnsi="Times New Roman"/>
          <w:color w:val="000000"/>
          <w:sz w:val="24"/>
          <w:szCs w:val="24"/>
        </w:rPr>
        <w:t xml:space="preserve">граммы </w:t>
      </w:r>
      <w:r>
        <w:rPr>
          <w:rFonts w:ascii="Times New Roman" w:hAnsi="Times New Roman"/>
          <w:sz w:val="24"/>
          <w:szCs w:val="24"/>
        </w:rPr>
      </w:r>
      <w:r/>
      <w:r>
        <w:rPr>
          <w:rFonts w:ascii="Times New Roman" w:hAnsi="Times New Roman"/>
          <w:color w:val="000000"/>
          <w:sz w:val="24"/>
          <w:szCs w:val="24"/>
        </w:rPr>
        <w:t xml:space="preserve">«С</w:t>
      </w:r>
      <w:r>
        <w:rPr>
          <w:rFonts w:ascii="Times New Roman" w:hAnsi="Times New Roman"/>
          <w:color w:val="000000"/>
          <w:sz w:val="24"/>
          <w:szCs w:val="24"/>
        </w:rPr>
        <w:t xml:space="preserve">о</w:t>
      </w:r>
      <w:r>
        <w:rPr>
          <w:rFonts w:ascii="Times New Roman" w:hAnsi="Times New Roman"/>
          <w:color w:val="000000"/>
          <w:sz w:val="24"/>
          <w:szCs w:val="24"/>
        </w:rPr>
        <w:t xml:space="preserve">хранение и развитие культуры в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 Тайшет</w:t>
      </w:r>
      <w:r>
        <w:rPr>
          <w:rFonts w:ascii="Times New Roman" w:hAnsi="Times New Roman"/>
          <w:color w:val="000000"/>
          <w:sz w:val="24"/>
          <w:szCs w:val="24"/>
        </w:rPr>
        <w:t xml:space="preserve">ском городском поселении на 202</w:t>
      </w:r>
      <w:r>
        <w:rPr>
          <w:rFonts w:ascii="Times New Roman" w:hAnsi="Times New Roman"/>
          <w:color w:val="000000"/>
          <w:sz w:val="24"/>
          <w:szCs w:val="24"/>
        </w:rPr>
        <w:t xml:space="preserve">4</w:t>
      </w:r>
      <w:r>
        <w:rPr>
          <w:rFonts w:ascii="Times New Roman" w:hAnsi="Times New Roman"/>
          <w:color w:val="000000"/>
          <w:sz w:val="24"/>
          <w:szCs w:val="24"/>
        </w:rPr>
        <w:t xml:space="preserve">-202</w:t>
      </w:r>
      <w:r>
        <w:rPr>
          <w:rFonts w:ascii="Times New Roman" w:hAnsi="Times New Roman"/>
          <w:color w:val="000000"/>
          <w:sz w:val="24"/>
          <w:szCs w:val="24"/>
        </w:rPr>
        <w:t xml:space="preserve">6</w:t>
      </w:r>
      <w:r>
        <w:rPr>
          <w:rFonts w:ascii="Times New Roman" w:hAnsi="Times New Roman"/>
          <w:color w:val="000000"/>
          <w:sz w:val="24"/>
          <w:szCs w:val="24"/>
        </w:rPr>
        <w:t xml:space="preserve"> годы», </w:t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утвержденной пост</w:t>
      </w:r>
      <w:r>
        <w:rPr>
          <w:rFonts w:ascii="Times New Roman" w:hAnsi="Times New Roman"/>
          <w:color w:val="000000"/>
          <w:sz w:val="24"/>
          <w:szCs w:val="24"/>
        </w:rPr>
        <w:t xml:space="preserve">а</w:t>
      </w:r>
      <w:r>
        <w:rPr>
          <w:rFonts w:ascii="Times New Roman" w:hAnsi="Times New Roman"/>
          <w:color w:val="000000"/>
          <w:sz w:val="24"/>
          <w:szCs w:val="24"/>
        </w:rPr>
        <w:t xml:space="preserve">новлением администрации </w:t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Тайшетского городского посе</w:t>
      </w:r>
      <w:r>
        <w:rPr>
          <w:rFonts w:ascii="Times New Roman" w:hAnsi="Times New Roman"/>
          <w:color w:val="000000"/>
          <w:sz w:val="24"/>
          <w:szCs w:val="24"/>
        </w:rPr>
        <w:t xml:space="preserve">ления </w:t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от </w:t>
      </w:r>
      <w:r>
        <w:rPr>
          <w:rFonts w:ascii="Times New Roman" w:hAnsi="Times New Roman"/>
          <w:color w:val="000000"/>
          <w:sz w:val="24"/>
          <w:szCs w:val="24"/>
        </w:rPr>
        <w:t xml:space="preserve">01 декабря 2022 года № 1053, в 2024 году</w:t>
      </w:r>
      <w:r>
        <w:rPr>
          <w:rFonts w:ascii="Times New Roman" w:hAnsi="Times New Roman"/>
          <w:sz w:val="24"/>
          <w:szCs w:val="24"/>
        </w:rPr>
        <w:t xml:space="preserve"> </w:t>
      </w:r>
      <w:r/>
      <w:r/>
    </w:p>
    <w:p>
      <w:pPr>
        <w:pStyle w:val="88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pStyle w:val="886"/>
        <w:jc w:val="center"/>
        <w:rPr>
          <w:rFonts w:ascii="Times New Roman" w:hAnsi="Times New Roman" w:cs="Times New Roman"/>
          <w:sz w:val="24"/>
          <w:szCs w:val="24"/>
          <w:highlight w:val="none"/>
        </w:rPr>
      </w:pPr>
      <w:r/>
      <w:bookmarkEnd w:id="0"/>
      <w:r/>
      <w:bookmarkStart w:id="1" w:name="P814"/>
      <w:r>
        <w:rPr>
          <w:rFonts w:ascii="Times New Roman" w:hAnsi="Times New Roman" w:cs="Times New Roman"/>
          <w:sz w:val="24"/>
          <w:szCs w:val="24"/>
        </w:rPr>
        <w:t xml:space="preserve">ОТЧЕТ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pStyle w:val="88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 выполнении мероприятий муниципальной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программы </w:t>
      </w:r>
      <w:r>
        <w:rPr>
          <w:rFonts w:ascii="Times New Roman" w:hAnsi="Times New Roman" w:cs="Times New Roman"/>
          <w:sz w:val="24"/>
          <w:szCs w:val="24"/>
        </w:rPr>
        <w:t xml:space="preserve">«</w:t>
      </w:r>
      <w:r>
        <w:rPr>
          <w:rFonts w:ascii="Times New Roman" w:hAnsi="Times New Roman" w:cs="Times New Roman"/>
          <w:sz w:val="24"/>
          <w:szCs w:val="24"/>
        </w:rPr>
        <w:t xml:space="preserve">Сохранение и развитие культ</w:t>
      </w:r>
      <w:r>
        <w:rPr>
          <w:rFonts w:ascii="Times New Roman" w:hAnsi="Times New Roman" w:cs="Times New Roman"/>
          <w:sz w:val="24"/>
          <w:szCs w:val="24"/>
        </w:rPr>
        <w:t xml:space="preserve">у</w:t>
      </w:r>
      <w:r>
        <w:rPr>
          <w:rFonts w:ascii="Times New Roman" w:hAnsi="Times New Roman" w:cs="Times New Roman"/>
          <w:sz w:val="24"/>
          <w:szCs w:val="24"/>
        </w:rPr>
        <w:t xml:space="preserve">ры в Тайшетском городском</w:t>
      </w:r>
      <w:r>
        <w:rPr>
          <w:rFonts w:ascii="Times New Roman" w:hAnsi="Times New Roman" w:cs="Times New Roman"/>
          <w:sz w:val="24"/>
          <w:szCs w:val="24"/>
        </w:rPr>
        <w:t xml:space="preserve"> посе</w:t>
      </w:r>
      <w:r>
        <w:rPr>
          <w:rFonts w:ascii="Times New Roman" w:hAnsi="Times New Roman" w:cs="Times New Roman"/>
          <w:sz w:val="24"/>
          <w:szCs w:val="24"/>
        </w:rPr>
        <w:t xml:space="preserve">лении»</w:t>
      </w:r>
      <w:r>
        <w:rPr>
          <w:rFonts w:ascii="Times New Roman" w:hAnsi="Times New Roman" w:cs="Times New Roman"/>
          <w:sz w:val="24"/>
          <w:szCs w:val="24"/>
        </w:rPr>
        <w:t xml:space="preserve"> на 202</w:t>
      </w:r>
      <w:r>
        <w:rPr>
          <w:rFonts w:ascii="Times New Roman" w:hAnsi="Times New Roman" w:cs="Times New Roman"/>
          <w:sz w:val="24"/>
          <w:szCs w:val="24"/>
        </w:rPr>
        <w:t xml:space="preserve">4</w:t>
      </w:r>
      <w:r>
        <w:rPr>
          <w:rFonts w:ascii="Times New Roman" w:hAnsi="Times New Roman" w:cs="Times New Roman"/>
          <w:sz w:val="24"/>
          <w:szCs w:val="24"/>
        </w:rPr>
        <w:t xml:space="preserve">-202</w:t>
      </w:r>
      <w:r>
        <w:rPr>
          <w:rFonts w:ascii="Times New Roman" w:hAnsi="Times New Roman" w:cs="Times New Roman"/>
          <w:sz w:val="24"/>
          <w:szCs w:val="24"/>
        </w:rPr>
        <w:t xml:space="preserve">6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hAnsi="Times New Roman" w:cs="Times New Roman"/>
          <w:sz w:val="24"/>
          <w:szCs w:val="24"/>
        </w:rPr>
        <w:t xml:space="preserve">о</w:t>
      </w:r>
      <w:r>
        <w:rPr>
          <w:rFonts w:ascii="Times New Roman" w:hAnsi="Times New Roman" w:cs="Times New Roman"/>
          <w:sz w:val="24"/>
          <w:szCs w:val="24"/>
        </w:rPr>
        <w:t xml:space="preserve">ды</w:t>
      </w:r>
      <w:r>
        <w:rPr>
          <w:rFonts w:ascii="Times New Roman" w:hAnsi="Times New Roman" w:cs="Times New Roman"/>
          <w:sz w:val="24"/>
          <w:szCs w:val="24"/>
        </w:rPr>
        <w:t xml:space="preserve"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 xml:space="preserve">4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721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567"/>
        <w:gridCol w:w="1559"/>
        <w:gridCol w:w="1417"/>
        <w:gridCol w:w="709"/>
        <w:gridCol w:w="709"/>
        <w:gridCol w:w="709"/>
        <w:gridCol w:w="850"/>
        <w:gridCol w:w="850"/>
        <w:gridCol w:w="567"/>
        <w:gridCol w:w="709"/>
        <w:gridCol w:w="992"/>
      </w:tblGrid>
      <w:tr>
        <w:tblPrEx/>
        <w:trPr>
          <w:trHeight w:val="224"/>
        </w:trPr>
        <w:tc>
          <w:tcPr>
            <w:tcW w:w="567" w:type="dxa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п/п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Наименование основных м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роприятий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Источн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ки фина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сирования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3"/>
            <w:tcW w:w="2126" w:type="dxa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Код бюдже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ной  классифик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ции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2"/>
            <w:tcW w:w="1701" w:type="dxa"/>
            <w:textDirection w:val="lrTb"/>
            <w:noWrap w:val="false"/>
          </w:tcPr>
          <w:p>
            <w:pPr>
              <w:pStyle w:val="881"/>
              <w:ind w:left="0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Объем фина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сиров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ния, тыс. руб.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2"/>
            <w:tcW w:w="1276" w:type="dxa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клонение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Merge w:val="restart"/>
            <w:textDirection w:val="lrTb"/>
            <w:noWrap w:val="false"/>
          </w:tcPr>
          <w:p>
            <w:pPr>
              <w:pStyle w:val="881"/>
              <w:ind w:left="-113" w:right="-113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Поясн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по осво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нию об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ъ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емов финанс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рования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vMerge w:val="continue"/>
            <w:textDirection w:val="lrTb"/>
            <w:noWrap w:val="false"/>
          </w:tcPr>
          <w:p>
            <w:r/>
          </w:p>
        </w:tc>
        <w:tc>
          <w:tcPr>
            <w:tcW w:w="1559" w:type="dxa"/>
            <w:vMerge w:val="continue"/>
            <w:textDirection w:val="lrTb"/>
            <w:noWrap w:val="false"/>
          </w:tcPr>
          <w:p>
            <w:r/>
          </w:p>
        </w:tc>
        <w:tc>
          <w:tcPr>
            <w:tcW w:w="1417" w:type="dxa"/>
            <w:vMerge w:val="continue"/>
            <w:textDirection w:val="lrTb"/>
            <w:noWrap w:val="false"/>
          </w:tcPr>
          <w:p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865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Рз Пр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ЦСР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ВР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лан на год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факт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/+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%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Merge w:val="continue"/>
            <w:textDirection w:val="lrTb"/>
            <w:noWrap w:val="false"/>
          </w:tcPr>
          <w:p>
            <w:r/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pStyle w:val="8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Приобретение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инвентаря для проведения культурно-массовых м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роприятий, музыкального и светового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оборудования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Бюджет муниц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пального образов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«Тайше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ское 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родское посел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ние»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0801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8100001150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,00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100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,00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Проведение культурно-массовых м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роприятий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Бюджет муниц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пального образов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«Тайше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ское 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родское посел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ние»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0801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8100001150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196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1,1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196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0,0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-1,1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Проведение культурно-массовых м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роприятий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Бю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жет муниц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пальн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го образов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«Тайше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ское 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родское посел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ние»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0801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8100001150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300,00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0,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100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543" w:type="dxa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Итого по муниципальной пр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грамме, в том числе: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2361,1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236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0,0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-1,1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100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543" w:type="dxa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федеральный 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543" w:type="dxa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областной 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543" w:type="dxa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местный 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0801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8100001150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2361,1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236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0,0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,1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543" w:type="dxa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другие источники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543" w:type="dxa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Справочно: капитальные ра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ходы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p>
      <w:pPr>
        <w:pStyle w:val="88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8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8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8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8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8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5"/>
        <w:ind w:right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  <w:t xml:space="preserve">Приложение</w:t>
      </w:r>
      <w:r>
        <w:rPr>
          <w:rFonts w:ascii="Times New Roman" w:hAnsi="Times New Roman"/>
          <w:sz w:val="24"/>
          <w:szCs w:val="24"/>
        </w:rPr>
        <w:t xml:space="preserve"> 2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5"/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к</w:t>
      </w:r>
      <w:r>
        <w:rPr>
          <w:rFonts w:ascii="Times New Roman" w:hAnsi="Times New Roman"/>
          <w:color w:val="000000"/>
          <w:sz w:val="24"/>
          <w:szCs w:val="24"/>
        </w:rPr>
        <w:t xml:space="preserve"> отчету о реализации муниципальной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 пр</w:t>
      </w:r>
      <w:r>
        <w:rPr>
          <w:rFonts w:ascii="Times New Roman" w:hAnsi="Times New Roman"/>
          <w:color w:val="000000"/>
          <w:sz w:val="24"/>
          <w:szCs w:val="24"/>
        </w:rPr>
        <w:t xml:space="preserve">о</w:t>
      </w:r>
      <w:r>
        <w:rPr>
          <w:rFonts w:ascii="Times New Roman" w:hAnsi="Times New Roman"/>
          <w:color w:val="000000"/>
          <w:sz w:val="24"/>
          <w:szCs w:val="24"/>
        </w:rPr>
        <w:t xml:space="preserve">граммы </w:t>
      </w:r>
      <w:r>
        <w:rPr>
          <w:rFonts w:ascii="Times New Roman" w:hAnsi="Times New Roman"/>
          <w:color w:val="000000"/>
          <w:sz w:val="24"/>
          <w:szCs w:val="24"/>
        </w:rPr>
        <w:t xml:space="preserve">«С</w:t>
      </w:r>
      <w:r>
        <w:rPr>
          <w:rFonts w:ascii="Times New Roman" w:hAnsi="Times New Roman"/>
          <w:color w:val="000000"/>
          <w:sz w:val="24"/>
          <w:szCs w:val="24"/>
        </w:rPr>
        <w:t xml:space="preserve">о</w:t>
      </w:r>
      <w:r>
        <w:rPr>
          <w:rFonts w:ascii="Times New Roman" w:hAnsi="Times New Roman"/>
          <w:color w:val="000000"/>
          <w:sz w:val="24"/>
          <w:szCs w:val="24"/>
        </w:rPr>
        <w:t xml:space="preserve">хранение и развитие культуры в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 Тайшет</w:t>
      </w:r>
      <w:r>
        <w:rPr>
          <w:rFonts w:ascii="Times New Roman" w:hAnsi="Times New Roman"/>
          <w:color w:val="000000"/>
          <w:sz w:val="24"/>
          <w:szCs w:val="24"/>
        </w:rPr>
        <w:t xml:space="preserve">ском городском поселении на 202</w:t>
      </w:r>
      <w:r>
        <w:rPr>
          <w:rFonts w:ascii="Times New Roman" w:hAnsi="Times New Roman"/>
          <w:color w:val="000000"/>
          <w:sz w:val="24"/>
          <w:szCs w:val="24"/>
        </w:rPr>
        <w:t xml:space="preserve">4</w:t>
      </w:r>
      <w:r>
        <w:rPr>
          <w:rFonts w:ascii="Times New Roman" w:hAnsi="Times New Roman"/>
          <w:color w:val="000000"/>
          <w:sz w:val="24"/>
          <w:szCs w:val="24"/>
        </w:rPr>
        <w:t xml:space="preserve">-202</w:t>
      </w:r>
      <w:r>
        <w:rPr>
          <w:rFonts w:ascii="Times New Roman" w:hAnsi="Times New Roman"/>
          <w:color w:val="000000"/>
          <w:sz w:val="24"/>
          <w:szCs w:val="24"/>
        </w:rPr>
        <w:t xml:space="preserve">6</w:t>
      </w:r>
      <w:r>
        <w:rPr>
          <w:rFonts w:ascii="Times New Roman" w:hAnsi="Times New Roman"/>
          <w:color w:val="000000"/>
          <w:sz w:val="24"/>
          <w:szCs w:val="24"/>
        </w:rPr>
        <w:t xml:space="preserve"> годы», 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утвержденной пост</w:t>
      </w:r>
      <w:r>
        <w:rPr>
          <w:rFonts w:ascii="Times New Roman" w:hAnsi="Times New Roman"/>
          <w:color w:val="000000"/>
          <w:sz w:val="24"/>
          <w:szCs w:val="24"/>
        </w:rPr>
        <w:t xml:space="preserve">а</w:t>
      </w:r>
      <w:r>
        <w:rPr>
          <w:rFonts w:ascii="Times New Roman" w:hAnsi="Times New Roman"/>
          <w:color w:val="000000"/>
          <w:sz w:val="24"/>
          <w:szCs w:val="24"/>
        </w:rPr>
        <w:t xml:space="preserve">новлением администрации 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Тайшетского городского посе</w:t>
      </w:r>
      <w:r>
        <w:rPr>
          <w:rFonts w:ascii="Times New Roman" w:hAnsi="Times New Roman"/>
          <w:color w:val="000000"/>
          <w:sz w:val="24"/>
          <w:szCs w:val="24"/>
        </w:rPr>
        <w:t xml:space="preserve">ления 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865"/>
        <w:ind w:left="0" w:right="0" w:firstLine="708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от </w:t>
      </w:r>
      <w:r>
        <w:rPr>
          <w:rFonts w:ascii="Times New Roman" w:hAnsi="Times New Roman"/>
          <w:color w:val="000000"/>
          <w:sz w:val="24"/>
          <w:szCs w:val="24"/>
        </w:rPr>
        <w:t xml:space="preserve">01 декабря 2022 года </w:t>
      </w:r>
      <w:r>
        <w:rPr>
          <w:rFonts w:ascii="Times New Roman" w:hAnsi="Times New Roman"/>
          <w:color w:val="000000"/>
          <w:sz w:val="24"/>
          <w:szCs w:val="24"/>
        </w:rPr>
        <w:t xml:space="preserve">№1053</w:t>
      </w:r>
      <w:r>
        <w:rPr>
          <w:rFonts w:ascii="Times New Roman" w:hAnsi="Times New Roman"/>
          <w:color w:val="000000"/>
          <w:sz w:val="24"/>
          <w:szCs w:val="24"/>
        </w:rPr>
        <w:t xml:space="preserve">, в 2024 году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88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5"/>
        <w:jc w:val="center"/>
        <w:rPr>
          <w:rFonts w:ascii="Times New Roman" w:hAnsi="Times New Roman"/>
          <w:sz w:val="24"/>
          <w:szCs w:val="24"/>
        </w:rPr>
      </w:pPr>
      <w:r/>
      <w:bookmarkEnd w:id="1"/>
      <w:r>
        <w:rPr>
          <w:rFonts w:ascii="Times New Roman" w:hAnsi="Times New Roman"/>
          <w:sz w:val="24"/>
          <w:szCs w:val="24"/>
        </w:rPr>
        <w:t xml:space="preserve">АНАЛИЗ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показателей результативности муниципальной программы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</w:t>
      </w:r>
      <w:r>
        <w:rPr>
          <w:rFonts w:ascii="Times New Roman" w:hAnsi="Times New Roman"/>
          <w:sz w:val="24"/>
          <w:szCs w:val="24"/>
        </w:rPr>
        <w:t xml:space="preserve">Сохранение и развитие кул</w:t>
      </w:r>
      <w:r>
        <w:rPr>
          <w:rFonts w:ascii="Times New Roman" w:hAnsi="Times New Roman"/>
          <w:sz w:val="24"/>
          <w:szCs w:val="24"/>
        </w:rPr>
        <w:t xml:space="preserve">ь</w:t>
      </w:r>
      <w:r>
        <w:rPr>
          <w:rFonts w:ascii="Times New Roman" w:hAnsi="Times New Roman"/>
          <w:sz w:val="24"/>
          <w:szCs w:val="24"/>
        </w:rPr>
        <w:t xml:space="preserve">туры в Тайшетском городском</w:t>
      </w:r>
      <w:r>
        <w:rPr>
          <w:rFonts w:ascii="Times New Roman" w:hAnsi="Times New Roman"/>
          <w:sz w:val="24"/>
          <w:szCs w:val="24"/>
        </w:rPr>
        <w:t xml:space="preserve"> посе</w:t>
      </w:r>
      <w:r>
        <w:rPr>
          <w:rFonts w:ascii="Times New Roman" w:hAnsi="Times New Roman"/>
          <w:sz w:val="24"/>
          <w:szCs w:val="24"/>
        </w:rPr>
        <w:t xml:space="preserve">лении» на 202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-202</w:t>
      </w: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ды, </w:t>
      </w:r>
      <w:r>
        <w:rPr>
          <w:rFonts w:ascii="Times New Roman" w:hAnsi="Times New Roman"/>
          <w:sz w:val="24"/>
          <w:szCs w:val="24"/>
        </w:rPr>
        <w:t xml:space="preserve">за</w:t>
      </w:r>
      <w:r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 год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tbl>
      <w:tblPr>
        <w:tblW w:w="9354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567"/>
        <w:gridCol w:w="3260"/>
        <w:gridCol w:w="709"/>
        <w:gridCol w:w="992"/>
        <w:gridCol w:w="853"/>
        <w:gridCol w:w="1557"/>
        <w:gridCol w:w="14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7" w:type="dxa"/>
            <w:vAlign w:val="top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п/п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260" w:type="dxa"/>
            <w:vAlign w:val="top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Наименование показ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теля результ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тивности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д. изм.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2"/>
            <w:tcW w:w="1845" w:type="dxa"/>
            <w:vAlign w:val="top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Значение показ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теля результати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ности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7" w:type="dxa"/>
            <w:vAlign w:val="top"/>
            <w:vMerge w:val="restart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Степень дост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жения показателя результ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тивности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top"/>
            <w:vMerge w:val="restart"/>
            <w:textDirection w:val="lrTb"/>
            <w:noWrap w:val="false"/>
          </w:tcPr>
          <w:p>
            <w:pPr>
              <w:pStyle w:val="881"/>
              <w:ind w:left="-57" w:right="-57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Пояснения (расчет показ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теля результ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тивности, обоснов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ние отклон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  <w:t xml:space="preserve">ний)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7" w:type="dxa"/>
            <w:vAlign w:val="top"/>
            <w:vMerge w:val="continue"/>
            <w:textDirection w:val="lrTb"/>
            <w:noWrap w:val="false"/>
          </w:tcPr>
          <w:p>
            <w:pPr>
              <w:pStyle w:val="88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260" w:type="dxa"/>
            <w:vAlign w:val="top"/>
            <w:vMerge w:val="continue"/>
            <w:textDirection w:val="lrTb"/>
            <w:noWrap w:val="false"/>
          </w:tcPr>
          <w:p>
            <w:pPr>
              <w:pStyle w:val="88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top"/>
            <w:vMerge w:val="continue"/>
            <w:textDirection w:val="lrTb"/>
            <w:noWrap w:val="false"/>
          </w:tcPr>
          <w:p>
            <w:pPr>
              <w:pStyle w:val="88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план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3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факт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7" w:type="dxa"/>
            <w:vAlign w:val="top"/>
            <w:vMerge w:val="continue"/>
            <w:textDirection w:val="lrTb"/>
            <w:noWrap w:val="false"/>
          </w:tcPr>
          <w:p>
            <w:pPr>
              <w:pStyle w:val="88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Style w:val="88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260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З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3" w:type="dxa"/>
            <w:vAlign w:val="top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З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ф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Mar>
              <w:left w:w="57" w:type="dxa"/>
              <w:right w:w="57" w:type="dxa"/>
            </w:tcMar>
            <w:tcW w:w="1557" w:type="dxa"/>
            <w:vAlign w:val="bottom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дп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= З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ф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/З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perscript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*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perscript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</w:r>
          </w:p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дп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= З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/З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ф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perscript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**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perscript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4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260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3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7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50"/>
        </w:trPr>
        <w:tc>
          <w:tcPr>
            <w:gridSpan w:val="7"/>
            <w:tcW w:w="9354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Муниципальная программа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Сохранение и развитие культ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у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ры в Тайшетском городском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посе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лении» на 20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-202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ды,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за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202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год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71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260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both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Количество 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сетителей фестивалей, ко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курсов, традиционных праздн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ков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чел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70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3" w:type="dxa"/>
            <w:vAlign w:val="center"/>
            <w:textDirection w:val="lrTb"/>
            <w:noWrap w:val="false"/>
          </w:tcPr>
          <w:p>
            <w:pPr>
              <w:pStyle w:val="865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70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38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260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both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Количество культу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но-просветительских мер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приятий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ед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3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260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both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Колич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ство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участников в фе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тивалях, конкурсах, традицио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ных праздн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ках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чел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3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260" w:type="dxa"/>
            <w:vAlign w:val="top"/>
            <w:textDirection w:val="lrTb"/>
            <w:noWrap w:val="false"/>
          </w:tcPr>
          <w:p>
            <w:pPr>
              <w:pStyle w:val="881"/>
              <w:ind w:left="0" w:right="0" w:firstLine="0"/>
              <w:jc w:val="both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Итоговая оце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ка: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81"/>
              <w:ind w:left="0" w:right="0" w:firstLine="0"/>
              <w:jc w:val="both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Степень дост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жения целей (решения задач) программы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881"/>
              <w:ind w:left="0" w:right="0" w:firstLine="0"/>
              <w:jc w:val="both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дц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= (С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дп1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+ 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дп2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+ 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vertAlign w:val="subscript"/>
              </w:rPr>
              <w:t xml:space="preserve">дпN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) /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N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3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pStyle w:val="881"/>
              <w:ind w:left="0" w:right="0" w:firstLine="0"/>
              <w:jc w:val="center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p>
      <w:pPr>
        <w:pStyle w:val="881"/>
        <w:jc w:val="right"/>
        <w:rPr>
          <w:rFonts w:ascii="Times New Roman" w:hAnsi="Times New Roman" w:cs="Times New Roman"/>
          <w:sz w:val="24"/>
          <w:szCs w:val="24"/>
        </w:rPr>
        <w:outlineLvl w:val="1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81"/>
        <w:ind w:firstLine="720"/>
        <w:jc w:val="both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 xml:space="preserve">*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для целевых показателей, желаемой тенденцией развития которых является рост значений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81"/>
        <w:ind w:firstLine="720"/>
        <w:jc w:val="both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 xml:space="preserve">*</w:t>
      </w:r>
      <w:r>
        <w:rPr>
          <w:rFonts w:ascii="Times New Roman" w:hAnsi="Times New Roman" w:cs="Times New Roman"/>
          <w:sz w:val="24"/>
          <w:szCs w:val="24"/>
        </w:rPr>
        <w:t xml:space="preserve">*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для целевых показателей, желаемой тенденцией развития которых является снижение значений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5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5"/>
        <w:ind w:right="-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  <w:t xml:space="preserve">Приложение</w:t>
      </w:r>
      <w:r>
        <w:rPr>
          <w:rFonts w:ascii="Times New Roman" w:hAnsi="Times New Roman"/>
          <w:sz w:val="24"/>
          <w:szCs w:val="24"/>
        </w:rPr>
        <w:t xml:space="preserve"> 3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65"/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к</w:t>
      </w:r>
      <w:r>
        <w:rPr>
          <w:rFonts w:ascii="Times New Roman" w:hAnsi="Times New Roman"/>
          <w:color w:val="000000"/>
          <w:sz w:val="24"/>
          <w:szCs w:val="24"/>
        </w:rPr>
        <w:t xml:space="preserve"> отчету о реализации муниципальной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 пр</w:t>
      </w:r>
      <w:r>
        <w:rPr>
          <w:rFonts w:ascii="Times New Roman" w:hAnsi="Times New Roman"/>
          <w:color w:val="000000"/>
          <w:sz w:val="24"/>
          <w:szCs w:val="24"/>
        </w:rPr>
        <w:t xml:space="preserve">о</w:t>
      </w:r>
      <w:r>
        <w:rPr>
          <w:rFonts w:ascii="Times New Roman" w:hAnsi="Times New Roman"/>
          <w:color w:val="000000"/>
          <w:sz w:val="24"/>
          <w:szCs w:val="24"/>
        </w:rPr>
        <w:t xml:space="preserve">граммы </w:t>
      </w:r>
      <w:r>
        <w:rPr>
          <w:rFonts w:ascii="Times New Roman" w:hAnsi="Times New Roman"/>
          <w:color w:val="000000"/>
          <w:sz w:val="24"/>
          <w:szCs w:val="24"/>
        </w:rPr>
        <w:t xml:space="preserve">«С</w:t>
      </w:r>
      <w:r>
        <w:rPr>
          <w:rFonts w:ascii="Times New Roman" w:hAnsi="Times New Roman"/>
          <w:color w:val="000000"/>
          <w:sz w:val="24"/>
          <w:szCs w:val="24"/>
        </w:rPr>
        <w:t xml:space="preserve">о</w:t>
      </w:r>
      <w:r>
        <w:rPr>
          <w:rFonts w:ascii="Times New Roman" w:hAnsi="Times New Roman"/>
          <w:color w:val="000000"/>
          <w:sz w:val="24"/>
          <w:szCs w:val="24"/>
        </w:rPr>
        <w:t xml:space="preserve">хранение и развитие культуры в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 Тайшет</w:t>
      </w:r>
      <w:r>
        <w:rPr>
          <w:rFonts w:ascii="Times New Roman" w:hAnsi="Times New Roman"/>
          <w:color w:val="000000"/>
          <w:sz w:val="24"/>
          <w:szCs w:val="24"/>
        </w:rPr>
        <w:t xml:space="preserve">ском городском поселении на 202</w:t>
      </w:r>
      <w:r>
        <w:rPr>
          <w:rFonts w:ascii="Times New Roman" w:hAnsi="Times New Roman"/>
          <w:color w:val="000000"/>
          <w:sz w:val="24"/>
          <w:szCs w:val="24"/>
        </w:rPr>
        <w:t xml:space="preserve">4</w:t>
      </w:r>
      <w:r>
        <w:rPr>
          <w:rFonts w:ascii="Times New Roman" w:hAnsi="Times New Roman"/>
          <w:color w:val="000000"/>
          <w:sz w:val="24"/>
          <w:szCs w:val="24"/>
        </w:rPr>
        <w:t xml:space="preserve">-202</w:t>
      </w:r>
      <w:r>
        <w:rPr>
          <w:rFonts w:ascii="Times New Roman" w:hAnsi="Times New Roman"/>
          <w:color w:val="000000"/>
          <w:sz w:val="24"/>
          <w:szCs w:val="24"/>
        </w:rPr>
        <w:t xml:space="preserve">6</w:t>
      </w:r>
      <w:r>
        <w:rPr>
          <w:rFonts w:ascii="Times New Roman" w:hAnsi="Times New Roman"/>
          <w:color w:val="000000"/>
          <w:sz w:val="24"/>
          <w:szCs w:val="24"/>
        </w:rPr>
        <w:t xml:space="preserve"> годы», 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утвержденной пост</w:t>
      </w:r>
      <w:r>
        <w:rPr>
          <w:rFonts w:ascii="Times New Roman" w:hAnsi="Times New Roman"/>
          <w:color w:val="000000"/>
          <w:sz w:val="24"/>
          <w:szCs w:val="24"/>
        </w:rPr>
        <w:t xml:space="preserve">а</w:t>
      </w:r>
      <w:r>
        <w:rPr>
          <w:rFonts w:ascii="Times New Roman" w:hAnsi="Times New Roman"/>
          <w:color w:val="000000"/>
          <w:sz w:val="24"/>
          <w:szCs w:val="24"/>
        </w:rPr>
        <w:t xml:space="preserve">новлением администрации 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Тайшетского городского посе</w:t>
      </w:r>
      <w:r>
        <w:rPr>
          <w:rFonts w:ascii="Times New Roman" w:hAnsi="Times New Roman"/>
          <w:color w:val="000000"/>
          <w:sz w:val="24"/>
          <w:szCs w:val="24"/>
        </w:rPr>
        <w:t xml:space="preserve">ления </w:t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865"/>
        <w:ind w:left="0" w:right="0" w:firstLine="0"/>
        <w:jc w:val="right"/>
        <w:rPr>
          <w:rFonts w:ascii="Times New Roman" w:hAnsi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/>
          <w:color w:val="000000"/>
          <w:sz w:val="24"/>
          <w:szCs w:val="24"/>
        </w:rPr>
        <w:t xml:space="preserve">от </w:t>
      </w:r>
      <w:r>
        <w:rPr>
          <w:rFonts w:ascii="Times New Roman" w:hAnsi="Times New Roman"/>
          <w:color w:val="000000"/>
          <w:sz w:val="24"/>
          <w:szCs w:val="24"/>
        </w:rPr>
        <w:t xml:space="preserve">01 декабря 2022 года№ 1053, в 2024 году</w:t>
      </w:r>
      <w:r>
        <w:rPr>
          <w:rFonts w:ascii="Times New Roman" w:hAnsi="Times New Roman"/>
          <w:sz w:val="24"/>
          <w:szCs w:val="24"/>
        </w:rPr>
        <w:t xml:space="preserve"> </w:t>
      </w:r>
      <w:r/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88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65"/>
        <w:jc w:val="center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Расчет оценки эффективности реализации</w:t>
      </w:r>
      <w:r>
        <w:rPr>
          <w:rFonts w:ascii="Times New Roman" w:hAnsi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sz w:val="24"/>
          <w:szCs w:val="24"/>
          <w:lang w:eastAsia="en-US"/>
        </w:rPr>
      </w:r>
    </w:p>
    <w:p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en-US"/>
        </w:rPr>
      </w:r>
      <w:r>
        <w:rPr>
          <w:rFonts w:ascii="Times New Roman" w:hAnsi="Times New Roman"/>
          <w:sz w:val="24"/>
          <w:szCs w:val="24"/>
          <w:lang w:eastAsia="en-US"/>
        </w:rPr>
        <w:t xml:space="preserve">муниципальной программы </w:t>
      </w:r>
      <w:r>
        <w:rPr>
          <w:rFonts w:ascii="Times New Roman" w:hAnsi="Times New Roman"/>
          <w:sz w:val="24"/>
          <w:szCs w:val="24"/>
        </w:rPr>
        <w:t xml:space="preserve">«</w:t>
      </w:r>
      <w:r>
        <w:rPr>
          <w:rFonts w:ascii="Times New Roman" w:hAnsi="Times New Roman"/>
          <w:sz w:val="24"/>
          <w:szCs w:val="24"/>
        </w:rPr>
        <w:t xml:space="preserve">Сохранение и развитие культ</w:t>
      </w:r>
      <w:r>
        <w:rPr>
          <w:rFonts w:ascii="Times New Roman" w:hAnsi="Times New Roman"/>
          <w:sz w:val="24"/>
          <w:szCs w:val="24"/>
        </w:rPr>
        <w:t xml:space="preserve">у</w:t>
      </w:r>
      <w:r>
        <w:rPr>
          <w:rFonts w:ascii="Times New Roman" w:hAnsi="Times New Roman"/>
          <w:sz w:val="24"/>
          <w:szCs w:val="24"/>
        </w:rPr>
        <w:t xml:space="preserve">ры в</w:t>
      </w:r>
      <w:r>
        <w:rPr>
          <w:rFonts w:ascii="Times New Roman" w:hAnsi="Times New Roman"/>
          <w:sz w:val="24"/>
          <w:szCs w:val="24"/>
          <w:lang w:eastAsia="en-US"/>
        </w:rPr>
      </w:r>
    </w:p>
    <w:p>
      <w:pPr>
        <w:jc w:val="center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Тайшетском</w:t>
      </w:r>
      <w:r>
        <w:rPr>
          <w:rFonts w:ascii="Times New Roman" w:hAnsi="Times New Roman"/>
          <w:sz w:val="24"/>
          <w:szCs w:val="24"/>
        </w:rPr>
        <w:t xml:space="preserve"> городском</w:t>
      </w:r>
      <w:r>
        <w:rPr>
          <w:rFonts w:ascii="Times New Roman" w:hAnsi="Times New Roman"/>
          <w:sz w:val="24"/>
          <w:szCs w:val="24"/>
        </w:rPr>
        <w:t xml:space="preserve"> посе</w:t>
      </w:r>
      <w:r>
        <w:rPr>
          <w:rFonts w:ascii="Times New Roman" w:hAnsi="Times New Roman"/>
          <w:sz w:val="24"/>
          <w:szCs w:val="24"/>
        </w:rPr>
        <w:t xml:space="preserve">лении» на 20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-202</w:t>
      </w: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ды, </w:t>
      </w:r>
      <w:r>
        <w:rPr>
          <w:rFonts w:ascii="Times New Roman" w:hAnsi="Times New Roman"/>
          <w:sz w:val="24"/>
          <w:szCs w:val="24"/>
        </w:rPr>
        <w:t xml:space="preserve"> за</w:t>
      </w:r>
      <w:r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 год</w:t>
      </w:r>
      <w:r/>
      <w:r/>
    </w:p>
    <w:p>
      <w:pPr>
        <w:pStyle w:val="865"/>
        <w:jc w:val="both"/>
        <w:rPr>
          <w:rFonts w:ascii="Times New Roman" w:hAnsi="Times New Roman"/>
          <w:sz w:val="24"/>
          <w:szCs w:val="24"/>
          <w:highlight w:val="magenta"/>
          <w:lang w:eastAsia="en-US"/>
        </w:rPr>
      </w:pPr>
      <w:r>
        <w:rPr>
          <w:rFonts w:ascii="Times New Roman" w:hAnsi="Times New Roman"/>
          <w:sz w:val="24"/>
          <w:szCs w:val="24"/>
          <w:highlight w:val="magenta"/>
          <w:lang w:eastAsia="en-US"/>
        </w:rPr>
      </w:r>
      <w:r>
        <w:rPr>
          <w:rFonts w:ascii="Times New Roman" w:hAnsi="Times New Roman"/>
          <w:sz w:val="24"/>
          <w:szCs w:val="24"/>
          <w:highlight w:val="magenta"/>
          <w:lang w:eastAsia="en-US"/>
        </w:rPr>
      </w:r>
      <w:r>
        <w:rPr>
          <w:rFonts w:ascii="Times New Roman" w:hAnsi="Times New Roman"/>
          <w:sz w:val="24"/>
          <w:szCs w:val="24"/>
          <w:highlight w:val="magenta"/>
          <w:lang w:eastAsia="en-US"/>
        </w:rPr>
      </w:r>
    </w:p>
    <w:tbl>
      <w:tblPr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175"/>
        <w:gridCol w:w="1617"/>
        <w:gridCol w:w="1603"/>
        <w:gridCol w:w="118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175" w:type="dxa"/>
            <w:vAlign w:val="center"/>
            <w:textDirection w:val="lrTb"/>
            <w:noWrap w:val="false"/>
          </w:tcPr>
          <w:p>
            <w:pPr>
              <w:pStyle w:val="86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Составляющая оценки эффективн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сти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17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Обозначение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03" w:type="dxa"/>
            <w:vAlign w:val="top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Расчет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1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Значение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175" w:type="dxa"/>
            <w:vAlign w:val="center"/>
            <w:textDirection w:val="lrTb"/>
            <w:noWrap w:val="false"/>
          </w:tcPr>
          <w:p>
            <w:pPr>
              <w:pStyle w:val="86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17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03" w:type="dxa"/>
            <w:vAlign w:val="top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3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1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4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175" w:type="dxa"/>
            <w:vAlign w:val="center"/>
            <w:textDirection w:val="lrTb"/>
            <w:noWrap w:val="false"/>
          </w:tcPr>
          <w:p>
            <w:pPr>
              <w:pStyle w:val="86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Степень достижения целей (решения з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дач)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  <w:p>
            <w:pPr>
              <w:pStyle w:val="881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  <w:highlight w:val="magenta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дц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= (С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дп1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+ С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дп2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+ С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дпN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/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N</w:t>
            </w:r>
            <w:r>
              <w:rPr>
                <w:rFonts w:ascii="Times New Roman" w:hAnsi="Times New Roman" w:cs="Times New Roman"/>
                <w:sz w:val="24"/>
                <w:szCs w:val="24"/>
                <w:highlight w:val="magenta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magenta"/>
                <w:lang w:eastAsia="en-US"/>
              </w:rPr>
            </w:r>
          </w:p>
        </w:tc>
        <w:tc>
          <w:tcPr>
            <w:tcW w:w="1617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highlight w:val="magenta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дц</w:t>
            </w:r>
            <w:r>
              <w:rPr>
                <w:rFonts w:ascii="Times New Roman" w:hAnsi="Times New Roman"/>
                <w:sz w:val="24"/>
                <w:szCs w:val="24"/>
                <w:highlight w:val="magenta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highlight w:val="magenta"/>
                <w:lang w:eastAsia="en-US"/>
              </w:rPr>
            </w:r>
          </w:p>
        </w:tc>
        <w:tc>
          <w:tcPr>
            <w:tcW w:w="1603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дц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=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+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+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) /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1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175" w:type="dxa"/>
            <w:vAlign w:val="center"/>
            <w:textDirection w:val="lrTb"/>
            <w:noWrap w:val="false"/>
          </w:tcPr>
          <w:p>
            <w:pPr>
              <w:pStyle w:val="86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Степень соответствия запланированному уро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ню затрат (уровень финансирования реализ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ции муниципальной пр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граммы)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  <w:p>
            <w:pPr>
              <w:pStyle w:val="881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  <w:highlight w:val="magenta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= Ф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Ф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  <w:highlight w:val="magenta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magenta"/>
                <w:lang w:eastAsia="en-US"/>
              </w:rPr>
            </w:r>
          </w:p>
        </w:tc>
        <w:tc>
          <w:tcPr>
            <w:tcW w:w="1617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highlight w:val="magenta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ф</w:t>
            </w:r>
            <w:r>
              <w:rPr>
                <w:rFonts w:ascii="Times New Roman" w:hAnsi="Times New Roman"/>
                <w:sz w:val="24"/>
                <w:szCs w:val="24"/>
                <w:highlight w:val="magenta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highlight w:val="magenta"/>
                <w:lang w:eastAsia="en-US"/>
              </w:rPr>
            </w:r>
          </w:p>
        </w:tc>
        <w:tc>
          <w:tcPr>
            <w:tcW w:w="1603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ф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=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2361,1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/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236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0,0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1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175" w:type="dxa"/>
            <w:vAlign w:val="center"/>
            <w:textDirection w:val="lrTb"/>
            <w:noWrap w:val="false"/>
          </w:tcPr>
          <w:p>
            <w:pPr>
              <w:pStyle w:val="86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Эффективность реализации Програ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м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мы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  <w:p>
            <w:pPr>
              <w:pStyle w:val="86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Э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мп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= С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дп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/ У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ф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17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Э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мп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03" w:type="dxa"/>
            <w:vAlign w:val="center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Э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мп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=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1" w:type="dxa"/>
            <w:vAlign w:val="top"/>
            <w:textDirection w:val="lrTb"/>
            <w:noWrap w:val="false"/>
          </w:tcPr>
          <w:p>
            <w:pPr>
              <w:pStyle w:val="865"/>
              <w:jc w:val="center"/>
              <w:rPr>
                <w:rFonts w:ascii="Times New Roman" w:hAnsi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val="en-US" w:eastAsia="en-US"/>
              </w:rPr>
            </w:r>
          </w:p>
        </w:tc>
      </w:tr>
    </w:tbl>
    <w:p>
      <w:pPr>
        <w:pStyle w:val="865"/>
        <w:jc w:val="center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</w:r>
      <w:r>
        <w:rPr>
          <w:rFonts w:ascii="Times New Roman" w:hAnsi="Times New Roman"/>
          <w:sz w:val="24"/>
          <w:szCs w:val="24"/>
          <w:lang w:eastAsia="en-US"/>
        </w:rPr>
      </w:r>
      <w:r>
        <w:rPr>
          <w:rFonts w:ascii="Times New Roman" w:hAnsi="Times New Roman"/>
          <w:sz w:val="24"/>
          <w:szCs w:val="24"/>
          <w:lang w:eastAsia="en-US"/>
        </w:rPr>
      </w:r>
    </w:p>
    <w:p>
      <w:pPr>
        <w:pStyle w:val="865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Вывод об эффективности программы</w:t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«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Сохранение и развитие культуры в Тайшетском г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родском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посе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лении» на 20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-202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6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ды,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за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202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год</w:t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. 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865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Признать программу эффективной</w:t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.</w:t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Consolas">
    <w:panose1 w:val="020B0606020202030204"/>
  </w:font>
  <w:font w:name="Verdana">
    <w:panose1 w:val="020B0604030504040204"/>
  </w:font>
  <w:font w:name="Calibri">
    <w:panose1 w:val="020F0502020204030204"/>
  </w:font>
  <w:font w:name="Consultant">
    <w:panose1 w:val="02020603050405020304"/>
  </w:font>
  <w:font w:name="Times New Roman">
    <w:panose1 w:val="02020603050405020304"/>
  </w:font>
  <w:font w:name="Tahoma">
    <w:panose1 w:val="020B0604030504040204"/>
  </w:font>
  <w:font w:name="Courier New">
    <w:panose1 w:val="020704090202050204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10.%1."/>
      <w:lvlJc w:val="left"/>
      <w:pPr>
        <w:ind w:left="0" w:firstLine="709"/>
        <w:tabs>
          <w:tab w:val="num" w:pos="720" w:leader="none"/>
        </w:tabs>
      </w:pPr>
    </w:lvl>
    <w:lvl w:ilvl="1">
      <w:start w:val="1"/>
      <w:numFmt w:val="bullet"/>
      <w:isLgl w:val="false"/>
      <w:suff w:val="tab"/>
      <w:lvlText w:val="−"/>
      <w:lvlJc w:val="left"/>
      <w:pPr>
        <w:ind w:left="0" w:firstLine="709"/>
        <w:tabs>
          <w:tab w:val="num" w:pos="1191" w:leader="none"/>
        </w:tabs>
      </w:pPr>
      <w:rPr>
        <w:rFonts w:ascii="Times New Roman" w:hAnsi="Times New Roman" w:cs="Times New Roman"/>
      </w:rPr>
    </w:lvl>
    <w:lvl w:ilvl="2">
      <w:start w:val="1"/>
      <w:numFmt w:val="bullet"/>
      <w:isLgl w:val="false"/>
      <w:suff w:val="tab"/>
      <w:lvlText w:val="-"/>
      <w:lvlJc w:val="left"/>
      <w:pPr>
        <w:ind w:left="1271" w:firstLine="709"/>
        <w:tabs>
          <w:tab w:val="num" w:pos="1980" w:leader="none"/>
        </w:tabs>
      </w:pPr>
      <w:rPr>
        <w:rFonts w:ascii="Times New Roman" w:hAnsi="Times New Roman"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4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6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8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4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6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8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0" w:hanging="180"/>
      </w:pPr>
    </w:lvl>
  </w:abstractNum>
  <w:abstractNum w:abstractNumId="4">
    <w:multiLevelType w:val="hybridMultilevel"/>
    <w:lvl w:ilvl="0">
      <w:start w:val="4"/>
      <w:numFmt w:val="decimal"/>
      <w:isLgl w:val="false"/>
      <w:suff w:val="tab"/>
      <w:lvlText w:val="8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5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4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6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8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0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8.3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8.2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8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bullet"/>
      <w:isLgl w:val="false"/>
      <w:suff w:val="tab"/>
      <w:lvlText w:val=""/>
      <w:lvlJc w:val="left"/>
      <w:pPr>
        <w:ind w:left="740" w:firstLine="340"/>
        <w:tabs>
          <w:tab w:val="num" w:pos="1391" w:leader="none"/>
        </w:tabs>
      </w:pPr>
      <w:rPr>
        <w:rFonts w:ascii="Symbol" w:hAnsi="Symbol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4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)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5"/>
  </w:num>
  <w:num w:numId="3">
    <w:abstractNumId w:val="0"/>
  </w:num>
  <w:num w:numId="4">
    <w:abstractNumId w:val="6"/>
  </w:num>
  <w:num w:numId="5">
    <w:abstractNumId w:val="13"/>
  </w:num>
  <w:num w:numId="6">
    <w:abstractNumId w:val="12"/>
  </w:num>
  <w:num w:numId="7">
    <w:abstractNumId w:val="11"/>
  </w:num>
  <w:num w:numId="8">
    <w:abstractNumId w:val="4"/>
  </w:num>
  <w:num w:numId="9">
    <w:abstractNumId w:val="9"/>
  </w:num>
  <w:num w:numId="10">
    <w:abstractNumId w:val="7"/>
  </w:num>
  <w:num w:numId="11">
    <w:abstractNumId w:val="3"/>
  </w:num>
  <w:num w:numId="12">
    <w:abstractNumId w:val="1"/>
  </w:num>
  <w:num w:numId="13">
    <w:abstractNumId w:val="2"/>
  </w:num>
  <w:num w:numId="14">
    <w:abstractNumId w:val="10"/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8">
    <w:name w:val="Heading 1"/>
    <w:basedOn w:val="865"/>
    <w:next w:val="865"/>
    <w:link w:val="68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9">
    <w:name w:val="Heading 1 Char"/>
    <w:link w:val="688"/>
    <w:uiPriority w:val="9"/>
    <w:rPr>
      <w:rFonts w:ascii="Arial" w:hAnsi="Arial" w:eastAsia="Arial" w:cs="Arial"/>
      <w:sz w:val="40"/>
      <w:szCs w:val="40"/>
    </w:rPr>
  </w:style>
  <w:style w:type="paragraph" w:styleId="690">
    <w:name w:val="Heading 2"/>
    <w:basedOn w:val="865"/>
    <w:next w:val="865"/>
    <w:link w:val="69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1">
    <w:name w:val="Heading 2 Char"/>
    <w:link w:val="690"/>
    <w:uiPriority w:val="9"/>
    <w:rPr>
      <w:rFonts w:ascii="Arial" w:hAnsi="Arial" w:eastAsia="Arial" w:cs="Arial"/>
      <w:sz w:val="34"/>
    </w:rPr>
  </w:style>
  <w:style w:type="paragraph" w:styleId="692">
    <w:name w:val="Heading 3"/>
    <w:basedOn w:val="865"/>
    <w:next w:val="865"/>
    <w:link w:val="69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3">
    <w:name w:val="Heading 3 Char"/>
    <w:link w:val="692"/>
    <w:uiPriority w:val="9"/>
    <w:rPr>
      <w:rFonts w:ascii="Arial" w:hAnsi="Arial" w:eastAsia="Arial" w:cs="Arial"/>
      <w:sz w:val="30"/>
      <w:szCs w:val="30"/>
    </w:rPr>
  </w:style>
  <w:style w:type="paragraph" w:styleId="694">
    <w:name w:val="Heading 4"/>
    <w:basedOn w:val="865"/>
    <w:next w:val="865"/>
    <w:link w:val="69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95">
    <w:name w:val="Heading 4 Char"/>
    <w:link w:val="694"/>
    <w:uiPriority w:val="9"/>
    <w:rPr>
      <w:rFonts w:ascii="Arial" w:hAnsi="Arial" w:eastAsia="Arial" w:cs="Arial"/>
      <w:b/>
      <w:bCs/>
      <w:sz w:val="26"/>
      <w:szCs w:val="26"/>
    </w:rPr>
  </w:style>
  <w:style w:type="paragraph" w:styleId="696">
    <w:name w:val="Heading 5"/>
    <w:basedOn w:val="865"/>
    <w:next w:val="865"/>
    <w:link w:val="69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97">
    <w:name w:val="Heading 5 Char"/>
    <w:link w:val="696"/>
    <w:uiPriority w:val="9"/>
    <w:rPr>
      <w:rFonts w:ascii="Arial" w:hAnsi="Arial" w:eastAsia="Arial" w:cs="Arial"/>
      <w:b/>
      <w:bCs/>
      <w:sz w:val="24"/>
      <w:szCs w:val="24"/>
    </w:rPr>
  </w:style>
  <w:style w:type="paragraph" w:styleId="698">
    <w:name w:val="Heading 6"/>
    <w:basedOn w:val="865"/>
    <w:next w:val="865"/>
    <w:link w:val="69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9">
    <w:name w:val="Heading 6 Char"/>
    <w:link w:val="698"/>
    <w:uiPriority w:val="9"/>
    <w:rPr>
      <w:rFonts w:ascii="Arial" w:hAnsi="Arial" w:eastAsia="Arial" w:cs="Arial"/>
      <w:b/>
      <w:bCs/>
      <w:sz w:val="22"/>
      <w:szCs w:val="22"/>
    </w:rPr>
  </w:style>
  <w:style w:type="paragraph" w:styleId="700">
    <w:name w:val="Heading 7"/>
    <w:basedOn w:val="865"/>
    <w:next w:val="865"/>
    <w:link w:val="70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1">
    <w:name w:val="Heading 7 Char"/>
    <w:link w:val="70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2">
    <w:name w:val="Heading 8"/>
    <w:basedOn w:val="865"/>
    <w:next w:val="865"/>
    <w:link w:val="70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3">
    <w:name w:val="Heading 8 Char"/>
    <w:link w:val="702"/>
    <w:uiPriority w:val="9"/>
    <w:rPr>
      <w:rFonts w:ascii="Arial" w:hAnsi="Arial" w:eastAsia="Arial" w:cs="Arial"/>
      <w:i/>
      <w:iCs/>
      <w:sz w:val="22"/>
      <w:szCs w:val="22"/>
    </w:rPr>
  </w:style>
  <w:style w:type="paragraph" w:styleId="704">
    <w:name w:val="Heading 9"/>
    <w:basedOn w:val="865"/>
    <w:next w:val="865"/>
    <w:link w:val="70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5">
    <w:name w:val="Heading 9 Char"/>
    <w:link w:val="704"/>
    <w:uiPriority w:val="9"/>
    <w:rPr>
      <w:rFonts w:ascii="Arial" w:hAnsi="Arial" w:eastAsia="Arial" w:cs="Arial"/>
      <w:i/>
      <w:iCs/>
      <w:sz w:val="21"/>
      <w:szCs w:val="21"/>
    </w:rPr>
  </w:style>
  <w:style w:type="paragraph" w:styleId="706">
    <w:name w:val="No Spacing"/>
    <w:uiPriority w:val="1"/>
    <w:qFormat/>
    <w:pPr>
      <w:spacing w:before="0" w:after="0" w:line="240" w:lineRule="auto"/>
    </w:pPr>
  </w:style>
  <w:style w:type="paragraph" w:styleId="707">
    <w:name w:val="Title"/>
    <w:basedOn w:val="865"/>
    <w:next w:val="865"/>
    <w:link w:val="70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8">
    <w:name w:val="Title Char"/>
    <w:link w:val="707"/>
    <w:uiPriority w:val="10"/>
    <w:rPr>
      <w:sz w:val="48"/>
      <w:szCs w:val="48"/>
    </w:rPr>
  </w:style>
  <w:style w:type="paragraph" w:styleId="709">
    <w:name w:val="Subtitle"/>
    <w:basedOn w:val="865"/>
    <w:next w:val="865"/>
    <w:link w:val="710"/>
    <w:uiPriority w:val="11"/>
    <w:qFormat/>
    <w:pPr>
      <w:spacing w:before="200" w:after="200"/>
    </w:pPr>
    <w:rPr>
      <w:sz w:val="24"/>
      <w:szCs w:val="24"/>
    </w:rPr>
  </w:style>
  <w:style w:type="character" w:styleId="710">
    <w:name w:val="Subtitle Char"/>
    <w:link w:val="709"/>
    <w:uiPriority w:val="11"/>
    <w:rPr>
      <w:sz w:val="24"/>
      <w:szCs w:val="24"/>
    </w:rPr>
  </w:style>
  <w:style w:type="paragraph" w:styleId="711">
    <w:name w:val="Quote"/>
    <w:basedOn w:val="865"/>
    <w:next w:val="865"/>
    <w:link w:val="712"/>
    <w:uiPriority w:val="29"/>
    <w:qFormat/>
    <w:pPr>
      <w:ind w:left="720" w:right="720"/>
    </w:pPr>
    <w:rPr>
      <w:i/>
    </w:rPr>
  </w:style>
  <w:style w:type="character" w:styleId="712">
    <w:name w:val="Quote Char"/>
    <w:link w:val="711"/>
    <w:uiPriority w:val="29"/>
    <w:rPr>
      <w:i/>
    </w:rPr>
  </w:style>
  <w:style w:type="paragraph" w:styleId="713">
    <w:name w:val="Intense Quote"/>
    <w:basedOn w:val="865"/>
    <w:next w:val="865"/>
    <w:link w:val="71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4">
    <w:name w:val="Intense Quote Char"/>
    <w:link w:val="713"/>
    <w:uiPriority w:val="30"/>
    <w:rPr>
      <w:i/>
    </w:rPr>
  </w:style>
  <w:style w:type="paragraph" w:styleId="715">
    <w:name w:val="Header"/>
    <w:basedOn w:val="865"/>
    <w:link w:val="71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6">
    <w:name w:val="Header Char"/>
    <w:link w:val="715"/>
    <w:uiPriority w:val="99"/>
  </w:style>
  <w:style w:type="paragraph" w:styleId="717">
    <w:name w:val="Footer"/>
    <w:basedOn w:val="865"/>
    <w:link w:val="72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8">
    <w:name w:val="Footer Char"/>
    <w:link w:val="717"/>
    <w:uiPriority w:val="99"/>
  </w:style>
  <w:style w:type="paragraph" w:styleId="719">
    <w:name w:val="Caption"/>
    <w:basedOn w:val="865"/>
    <w:next w:val="86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0">
    <w:name w:val="Caption Char"/>
    <w:basedOn w:val="719"/>
    <w:link w:val="717"/>
    <w:uiPriority w:val="99"/>
  </w:style>
  <w:style w:type="table" w:styleId="721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2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3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4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5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6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8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1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0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1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2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3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54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55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56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57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58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59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0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1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2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63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64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65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66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67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68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9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0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85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86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87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88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89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0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1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6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7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8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9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0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1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2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3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14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15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16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17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18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19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0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1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2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23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24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25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26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7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8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9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0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1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2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3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4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5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6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7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8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9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0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1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2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3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44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45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46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47">
    <w:name w:val="Hyperlink"/>
    <w:uiPriority w:val="99"/>
    <w:unhideWhenUsed/>
    <w:rPr>
      <w:color w:val="0000ff" w:themeColor="hyperlink"/>
      <w:u w:val="single"/>
    </w:rPr>
  </w:style>
  <w:style w:type="paragraph" w:styleId="848">
    <w:name w:val="footnote text"/>
    <w:basedOn w:val="865"/>
    <w:link w:val="849"/>
    <w:uiPriority w:val="99"/>
    <w:semiHidden/>
    <w:unhideWhenUsed/>
    <w:pPr>
      <w:spacing w:after="40" w:line="240" w:lineRule="auto"/>
    </w:pPr>
    <w:rPr>
      <w:sz w:val="18"/>
    </w:rPr>
  </w:style>
  <w:style w:type="character" w:styleId="849">
    <w:name w:val="Footnote Text Char"/>
    <w:link w:val="848"/>
    <w:uiPriority w:val="99"/>
    <w:rPr>
      <w:sz w:val="18"/>
    </w:rPr>
  </w:style>
  <w:style w:type="character" w:styleId="850">
    <w:name w:val="footnote reference"/>
    <w:uiPriority w:val="99"/>
    <w:unhideWhenUsed/>
    <w:rPr>
      <w:vertAlign w:val="superscript"/>
    </w:rPr>
  </w:style>
  <w:style w:type="paragraph" w:styleId="851">
    <w:name w:val="endnote text"/>
    <w:basedOn w:val="865"/>
    <w:link w:val="852"/>
    <w:uiPriority w:val="99"/>
    <w:semiHidden/>
    <w:unhideWhenUsed/>
    <w:pPr>
      <w:spacing w:after="0" w:line="240" w:lineRule="auto"/>
    </w:pPr>
    <w:rPr>
      <w:sz w:val="20"/>
    </w:rPr>
  </w:style>
  <w:style w:type="character" w:styleId="852">
    <w:name w:val="Endnote Text Char"/>
    <w:link w:val="851"/>
    <w:uiPriority w:val="99"/>
    <w:rPr>
      <w:sz w:val="20"/>
    </w:rPr>
  </w:style>
  <w:style w:type="character" w:styleId="853">
    <w:name w:val="endnote reference"/>
    <w:uiPriority w:val="99"/>
    <w:semiHidden/>
    <w:unhideWhenUsed/>
    <w:rPr>
      <w:vertAlign w:val="superscript"/>
    </w:rPr>
  </w:style>
  <w:style w:type="paragraph" w:styleId="854">
    <w:name w:val="toc 1"/>
    <w:basedOn w:val="865"/>
    <w:next w:val="865"/>
    <w:uiPriority w:val="39"/>
    <w:unhideWhenUsed/>
    <w:pPr>
      <w:ind w:left="0" w:right="0" w:firstLine="0"/>
      <w:spacing w:after="57"/>
    </w:pPr>
  </w:style>
  <w:style w:type="paragraph" w:styleId="855">
    <w:name w:val="toc 2"/>
    <w:basedOn w:val="865"/>
    <w:next w:val="865"/>
    <w:uiPriority w:val="39"/>
    <w:unhideWhenUsed/>
    <w:pPr>
      <w:ind w:left="283" w:right="0" w:firstLine="0"/>
      <w:spacing w:after="57"/>
    </w:pPr>
  </w:style>
  <w:style w:type="paragraph" w:styleId="856">
    <w:name w:val="toc 3"/>
    <w:basedOn w:val="865"/>
    <w:next w:val="865"/>
    <w:uiPriority w:val="39"/>
    <w:unhideWhenUsed/>
    <w:pPr>
      <w:ind w:left="567" w:right="0" w:firstLine="0"/>
      <w:spacing w:after="57"/>
    </w:pPr>
  </w:style>
  <w:style w:type="paragraph" w:styleId="857">
    <w:name w:val="toc 4"/>
    <w:basedOn w:val="865"/>
    <w:next w:val="865"/>
    <w:uiPriority w:val="39"/>
    <w:unhideWhenUsed/>
    <w:pPr>
      <w:ind w:left="850" w:right="0" w:firstLine="0"/>
      <w:spacing w:after="57"/>
    </w:pPr>
  </w:style>
  <w:style w:type="paragraph" w:styleId="858">
    <w:name w:val="toc 5"/>
    <w:basedOn w:val="865"/>
    <w:next w:val="865"/>
    <w:uiPriority w:val="39"/>
    <w:unhideWhenUsed/>
    <w:pPr>
      <w:ind w:left="1134" w:right="0" w:firstLine="0"/>
      <w:spacing w:after="57"/>
    </w:pPr>
  </w:style>
  <w:style w:type="paragraph" w:styleId="859">
    <w:name w:val="toc 6"/>
    <w:basedOn w:val="865"/>
    <w:next w:val="865"/>
    <w:uiPriority w:val="39"/>
    <w:unhideWhenUsed/>
    <w:pPr>
      <w:ind w:left="1417" w:right="0" w:firstLine="0"/>
      <w:spacing w:after="57"/>
    </w:pPr>
  </w:style>
  <w:style w:type="paragraph" w:styleId="860">
    <w:name w:val="toc 7"/>
    <w:basedOn w:val="865"/>
    <w:next w:val="865"/>
    <w:uiPriority w:val="39"/>
    <w:unhideWhenUsed/>
    <w:pPr>
      <w:ind w:left="1701" w:right="0" w:firstLine="0"/>
      <w:spacing w:after="57"/>
    </w:pPr>
  </w:style>
  <w:style w:type="paragraph" w:styleId="861">
    <w:name w:val="toc 8"/>
    <w:basedOn w:val="865"/>
    <w:next w:val="865"/>
    <w:uiPriority w:val="39"/>
    <w:unhideWhenUsed/>
    <w:pPr>
      <w:ind w:left="1984" w:right="0" w:firstLine="0"/>
      <w:spacing w:after="57"/>
    </w:pPr>
  </w:style>
  <w:style w:type="paragraph" w:styleId="862">
    <w:name w:val="toc 9"/>
    <w:basedOn w:val="865"/>
    <w:next w:val="865"/>
    <w:uiPriority w:val="39"/>
    <w:unhideWhenUsed/>
    <w:pPr>
      <w:ind w:left="2268" w:right="0" w:firstLine="0"/>
      <w:spacing w:after="57"/>
    </w:pPr>
  </w:style>
  <w:style w:type="paragraph" w:styleId="863">
    <w:name w:val="TOC Heading"/>
    <w:uiPriority w:val="39"/>
    <w:unhideWhenUsed/>
  </w:style>
  <w:style w:type="paragraph" w:styleId="864">
    <w:name w:val="table of figures"/>
    <w:basedOn w:val="865"/>
    <w:next w:val="865"/>
    <w:uiPriority w:val="99"/>
    <w:unhideWhenUsed/>
    <w:pPr>
      <w:spacing w:after="0" w:afterAutospacing="0"/>
    </w:pPr>
  </w:style>
  <w:style w:type="paragraph" w:styleId="865" w:default="1">
    <w:name w:val="Normal"/>
    <w:next w:val="865"/>
    <w:link w:val="865"/>
    <w:qFormat/>
    <w:pPr>
      <w:widowControl w:val="off"/>
    </w:pPr>
    <w:rPr>
      <w:rFonts w:ascii="Arial" w:hAnsi="Arial"/>
      <w:sz w:val="26"/>
      <w:szCs w:val="26"/>
      <w:lang w:val="ru-RU" w:eastAsia="ru-RU" w:bidi="ar-SA"/>
    </w:rPr>
  </w:style>
  <w:style w:type="paragraph" w:styleId="866">
    <w:name w:val="Заголовок 1"/>
    <w:basedOn w:val="865"/>
    <w:next w:val="865"/>
    <w:link w:val="884"/>
    <w:uiPriority w:val="99"/>
    <w:qFormat/>
    <w:pPr>
      <w:jc w:val="center"/>
      <w:spacing w:before="108" w:after="108"/>
      <w:outlineLvl w:val="0"/>
    </w:pPr>
    <w:rPr>
      <w:b/>
      <w:bCs/>
      <w:color w:val="26282f"/>
      <w:sz w:val="24"/>
      <w:szCs w:val="24"/>
      <w:lang w:val="en-US" w:eastAsia="en-US"/>
    </w:rPr>
  </w:style>
  <w:style w:type="character" w:styleId="867">
    <w:name w:val="Основной шрифт абзаца"/>
    <w:next w:val="867"/>
    <w:link w:val="865"/>
    <w:uiPriority w:val="1"/>
    <w:semiHidden/>
    <w:unhideWhenUsed/>
  </w:style>
  <w:style w:type="table" w:styleId="868">
    <w:name w:val="Обычная таблица"/>
    <w:next w:val="868"/>
    <w:link w:val="865"/>
    <w:uiPriority w:val="99"/>
    <w:semiHidden/>
    <w:unhideWhenUsed/>
    <w:qFormat/>
    <w:tblPr/>
  </w:style>
  <w:style w:type="numbering" w:styleId="869">
    <w:name w:val="Нет списка"/>
    <w:next w:val="869"/>
    <w:link w:val="865"/>
    <w:uiPriority w:val="99"/>
    <w:semiHidden/>
    <w:unhideWhenUsed/>
  </w:style>
  <w:style w:type="character" w:styleId="870">
    <w:name w:val="Цветовое выделение"/>
    <w:next w:val="870"/>
    <w:link w:val="865"/>
    <w:rPr>
      <w:b/>
      <w:bCs/>
      <w:color w:val="26282f"/>
      <w:sz w:val="26"/>
      <w:szCs w:val="26"/>
    </w:rPr>
  </w:style>
  <w:style w:type="character" w:styleId="871">
    <w:name w:val="Гипертекстовая ссылка"/>
    <w:next w:val="871"/>
    <w:link w:val="865"/>
    <w:rPr>
      <w:b/>
      <w:bCs/>
      <w:color w:val="106bbe"/>
      <w:sz w:val="26"/>
      <w:szCs w:val="26"/>
    </w:rPr>
  </w:style>
  <w:style w:type="paragraph" w:styleId="872">
    <w:name w:val="Таблицы (моноширинный)"/>
    <w:basedOn w:val="865"/>
    <w:next w:val="865"/>
    <w:link w:val="865"/>
    <w:pPr>
      <w:jc w:val="both"/>
    </w:pPr>
    <w:rPr>
      <w:rFonts w:ascii="Courier New" w:hAnsi="Courier New" w:cs="Courier New"/>
      <w:sz w:val="22"/>
      <w:szCs w:val="22"/>
    </w:rPr>
  </w:style>
  <w:style w:type="paragraph" w:styleId="873">
    <w:name w:val="Прижатый влево"/>
    <w:basedOn w:val="865"/>
    <w:next w:val="865"/>
    <w:link w:val="865"/>
    <w:rPr>
      <w:sz w:val="24"/>
      <w:szCs w:val="24"/>
    </w:rPr>
  </w:style>
  <w:style w:type="paragraph" w:styleId="874">
    <w:name w:val="Нормальный (таблица)"/>
    <w:basedOn w:val="865"/>
    <w:next w:val="865"/>
    <w:link w:val="865"/>
    <w:pPr>
      <w:jc w:val="both"/>
    </w:pPr>
    <w:rPr>
      <w:sz w:val="24"/>
      <w:szCs w:val="24"/>
    </w:rPr>
  </w:style>
  <w:style w:type="paragraph" w:styleId="875">
    <w:name w:val="Текст выноски"/>
    <w:basedOn w:val="865"/>
    <w:next w:val="875"/>
    <w:link w:val="876"/>
    <w:uiPriority w:val="99"/>
    <w:rPr>
      <w:rFonts w:ascii="Tahoma" w:hAnsi="Tahoma"/>
      <w:sz w:val="16"/>
      <w:szCs w:val="16"/>
      <w:lang w:val="en-US" w:eastAsia="en-US"/>
    </w:rPr>
  </w:style>
  <w:style w:type="character" w:styleId="876">
    <w:name w:val="Текст выноски Знак"/>
    <w:next w:val="876"/>
    <w:link w:val="875"/>
    <w:uiPriority w:val="99"/>
    <w:rPr>
      <w:rFonts w:ascii="Tahoma" w:hAnsi="Tahoma" w:cs="Tahoma"/>
      <w:sz w:val="16"/>
      <w:szCs w:val="16"/>
    </w:rPr>
  </w:style>
  <w:style w:type="paragraph" w:styleId="877">
    <w:name w:val="ConsPlusCell"/>
    <w:next w:val="877"/>
    <w:link w:val="865"/>
    <w:uiPriority w:val="99"/>
    <w:pPr>
      <w:widowControl w:val="off"/>
    </w:pPr>
    <w:rPr>
      <w:rFonts w:ascii="Arial" w:hAnsi="Arial" w:cs="Arial"/>
      <w:lang w:val="ru-RU" w:eastAsia="ru-RU" w:bidi="ar-SA"/>
    </w:rPr>
  </w:style>
  <w:style w:type="character" w:styleId="878">
    <w:name w:val="Замещающий текст"/>
    <w:next w:val="878"/>
    <w:link w:val="865"/>
    <w:uiPriority w:val="99"/>
    <w:semiHidden/>
    <w:rPr>
      <w:color w:val="808080"/>
    </w:rPr>
  </w:style>
  <w:style w:type="paragraph" w:styleId="879">
    <w:name w:val="Обычный (веб),Обычный (Web)"/>
    <w:basedOn w:val="865"/>
    <w:next w:val="879"/>
    <w:link w:val="922"/>
    <w:uiPriority w:val="99"/>
    <w:unhideWhenUsed/>
    <w:qFormat/>
    <w:pPr>
      <w:spacing w:before="100" w:beforeAutospacing="1" w:after="100" w:afterAutospacing="1"/>
      <w:widowControl/>
    </w:pPr>
    <w:rPr>
      <w:rFonts w:ascii="Times New Roman" w:hAnsi="Times New Roman"/>
      <w:sz w:val="24"/>
      <w:szCs w:val="24"/>
      <w:lang w:val="en-US" w:eastAsia="en-US"/>
    </w:rPr>
  </w:style>
  <w:style w:type="table" w:styleId="880">
    <w:name w:val="Сетка таблицы"/>
    <w:basedOn w:val="868"/>
    <w:next w:val="880"/>
    <w:link w:val="865"/>
    <w:uiPriority w:val="99"/>
    <w:tblPr/>
  </w:style>
  <w:style w:type="paragraph" w:styleId="881">
    <w:name w:val="ConsPlusNormal"/>
    <w:next w:val="881"/>
    <w:link w:val="865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character" w:styleId="882">
    <w:name w:val="Гиперссылка"/>
    <w:next w:val="882"/>
    <w:link w:val="865"/>
    <w:uiPriority w:val="99"/>
    <w:rPr>
      <w:color w:val="0000ff"/>
      <w:u w:val="single"/>
    </w:rPr>
  </w:style>
  <w:style w:type="paragraph" w:styleId="883">
    <w:name w:val="Абзац списка1"/>
    <w:basedOn w:val="865"/>
    <w:next w:val="883"/>
    <w:link w:val="865"/>
    <w:uiPriority w:val="99"/>
    <w:pPr>
      <w:ind w:left="720"/>
      <w:spacing w:after="200" w:line="276" w:lineRule="auto"/>
      <w:widowControl/>
    </w:pPr>
    <w:rPr>
      <w:rFonts w:ascii="Calibri" w:hAnsi="Calibri" w:cs="Calibri"/>
      <w:sz w:val="22"/>
      <w:szCs w:val="22"/>
      <w:lang w:eastAsia="en-US"/>
    </w:rPr>
  </w:style>
  <w:style w:type="character" w:styleId="884">
    <w:name w:val="Заголовок 1 Знак"/>
    <w:next w:val="884"/>
    <w:link w:val="866"/>
    <w:uiPriority w:val="99"/>
    <w:rPr>
      <w:rFonts w:ascii="Arial" w:hAnsi="Arial"/>
      <w:b/>
      <w:bCs/>
      <w:color w:val="26282f"/>
      <w:sz w:val="24"/>
      <w:szCs w:val="24"/>
    </w:rPr>
  </w:style>
  <w:style w:type="paragraph" w:styleId="885">
    <w:name w:val="Знак Знак Знак Знак2"/>
    <w:basedOn w:val="865"/>
    <w:next w:val="885"/>
    <w:link w:val="86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886">
    <w:name w:val="ConsPlusNonformat"/>
    <w:next w:val="886"/>
    <w:link w:val="865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887">
    <w:name w:val="ConsPlusTitle"/>
    <w:next w:val="887"/>
    <w:link w:val="865"/>
    <w:uiPriority w:val="99"/>
    <w:pPr>
      <w:widowControl w:val="off"/>
    </w:pPr>
    <w:rPr>
      <w:rFonts w:ascii="Arial" w:hAnsi="Arial" w:cs="Arial"/>
      <w:b/>
      <w:bCs/>
      <w:lang w:val="ru-RU" w:eastAsia="ru-RU" w:bidi="ar-SA"/>
    </w:rPr>
  </w:style>
  <w:style w:type="paragraph" w:styleId="888">
    <w:name w:val="ConsPlusDocList"/>
    <w:next w:val="888"/>
    <w:link w:val="865"/>
    <w:uiPriority w:val="9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889">
    <w:name w:val="Верхний колонтитул"/>
    <w:basedOn w:val="865"/>
    <w:next w:val="889"/>
    <w:link w:val="890"/>
    <w:uiPriority w:val="99"/>
    <w:pPr>
      <w:spacing w:after="200" w:line="276" w:lineRule="auto"/>
      <w:widowControl/>
      <w:tabs>
        <w:tab w:val="center" w:pos="4677" w:leader="none"/>
        <w:tab w:val="right" w:pos="9355" w:leader="none"/>
      </w:tabs>
    </w:pPr>
    <w:rPr>
      <w:rFonts w:ascii="Calibri" w:hAnsi="Calibri"/>
      <w:sz w:val="22"/>
      <w:szCs w:val="22"/>
      <w:lang w:val="en-US" w:eastAsia="en-US"/>
    </w:rPr>
  </w:style>
  <w:style w:type="character" w:styleId="890">
    <w:name w:val="Верхний колонтитул Знак"/>
    <w:next w:val="890"/>
    <w:link w:val="889"/>
    <w:uiPriority w:val="99"/>
    <w:rPr>
      <w:rFonts w:ascii="Calibri" w:hAnsi="Calibri" w:cs="Calibri"/>
      <w:sz w:val="22"/>
      <w:szCs w:val="22"/>
    </w:rPr>
  </w:style>
  <w:style w:type="paragraph" w:styleId="891">
    <w:name w:val="Нижний колонтитул"/>
    <w:basedOn w:val="865"/>
    <w:next w:val="891"/>
    <w:link w:val="892"/>
    <w:pPr>
      <w:spacing w:after="200" w:line="276" w:lineRule="auto"/>
      <w:widowControl/>
      <w:tabs>
        <w:tab w:val="center" w:pos="4677" w:leader="none"/>
        <w:tab w:val="right" w:pos="9355" w:leader="none"/>
      </w:tabs>
    </w:pPr>
    <w:rPr>
      <w:rFonts w:ascii="Calibri" w:hAnsi="Calibri"/>
      <w:sz w:val="22"/>
      <w:szCs w:val="22"/>
      <w:lang w:val="en-US" w:eastAsia="en-US"/>
    </w:rPr>
  </w:style>
  <w:style w:type="character" w:styleId="892">
    <w:name w:val="Нижний колонтитул Знак"/>
    <w:next w:val="892"/>
    <w:link w:val="891"/>
    <w:rPr>
      <w:rFonts w:ascii="Calibri" w:hAnsi="Calibri" w:cs="Calibri"/>
      <w:sz w:val="22"/>
      <w:szCs w:val="22"/>
    </w:rPr>
  </w:style>
  <w:style w:type="paragraph" w:styleId="893">
    <w:name w:val="Стандартный HTML"/>
    <w:basedOn w:val="865"/>
    <w:next w:val="893"/>
    <w:link w:val="894"/>
    <w:uiPriority w:val="99"/>
    <w:pPr>
      <w:widowControl/>
    </w:pPr>
    <w:rPr>
      <w:rFonts w:ascii="Consolas" w:hAnsi="Consolas"/>
      <w:sz w:val="20"/>
      <w:szCs w:val="20"/>
      <w:lang w:val="en-US" w:eastAsia="en-US"/>
    </w:rPr>
  </w:style>
  <w:style w:type="character" w:styleId="894">
    <w:name w:val="Стандартный HTML Знак"/>
    <w:next w:val="894"/>
    <w:link w:val="893"/>
    <w:uiPriority w:val="99"/>
    <w:rPr>
      <w:rFonts w:ascii="Consolas" w:hAnsi="Consolas" w:cs="Consolas"/>
      <w:lang w:eastAsia="en-US"/>
    </w:rPr>
  </w:style>
  <w:style w:type="paragraph" w:styleId="895">
    <w:name w:val="Знак Знак Знак Знак"/>
    <w:basedOn w:val="865"/>
    <w:next w:val="895"/>
    <w:link w:val="86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896">
    <w:name w:val="Знак Знак Знак Знак1"/>
    <w:basedOn w:val="865"/>
    <w:next w:val="896"/>
    <w:link w:val="86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897">
    <w:name w:val="Оглавление 1"/>
    <w:basedOn w:val="865"/>
    <w:next w:val="865"/>
    <w:link w:val="865"/>
    <w:uiPriority w:val="99"/>
    <w:pPr>
      <w:jc w:val="right"/>
      <w:spacing w:after="200" w:line="276" w:lineRule="auto"/>
      <w:widowControl/>
      <w:tabs>
        <w:tab w:val="right" w:pos="9345" w:leader="dot"/>
      </w:tabs>
    </w:pPr>
    <w:rPr>
      <w:rFonts w:ascii="Calibri" w:hAnsi="Calibri" w:cs="Calibri"/>
      <w:sz w:val="22"/>
      <w:szCs w:val="22"/>
    </w:rPr>
  </w:style>
  <w:style w:type="paragraph" w:styleId="898">
    <w:name w:val="Оглавление 3"/>
    <w:basedOn w:val="865"/>
    <w:next w:val="865"/>
    <w:link w:val="865"/>
    <w:uiPriority w:val="99"/>
    <w:pPr>
      <w:ind w:left="440"/>
      <w:spacing w:after="200" w:line="276" w:lineRule="auto"/>
      <w:widowControl/>
    </w:pPr>
    <w:rPr>
      <w:rFonts w:ascii="Calibri" w:hAnsi="Calibri" w:cs="Calibri"/>
      <w:sz w:val="22"/>
      <w:szCs w:val="22"/>
    </w:rPr>
  </w:style>
  <w:style w:type="paragraph" w:styleId="899">
    <w:name w:val="Оглавление 2"/>
    <w:basedOn w:val="865"/>
    <w:next w:val="865"/>
    <w:link w:val="865"/>
    <w:uiPriority w:val="99"/>
    <w:pPr>
      <w:ind w:left="220"/>
      <w:spacing w:after="200" w:line="276" w:lineRule="auto"/>
      <w:widowControl/>
    </w:pPr>
    <w:rPr>
      <w:rFonts w:ascii="Calibri" w:hAnsi="Calibri" w:cs="Calibri"/>
      <w:sz w:val="22"/>
      <w:szCs w:val="22"/>
    </w:rPr>
  </w:style>
  <w:style w:type="character" w:styleId="900">
    <w:name w:val="Просмотренная гиперссылка"/>
    <w:next w:val="900"/>
    <w:link w:val="865"/>
    <w:uiPriority w:val="99"/>
    <w:rPr>
      <w:color w:val="800080"/>
      <w:u w:val="single"/>
    </w:rPr>
  </w:style>
  <w:style w:type="character" w:styleId="901">
    <w:name w:val="Строгий"/>
    <w:next w:val="901"/>
    <w:link w:val="865"/>
    <w:qFormat/>
    <w:rPr>
      <w:b/>
      <w:bCs/>
    </w:rPr>
  </w:style>
  <w:style w:type="paragraph" w:styleId="902">
    <w:name w:val="Знак Знак Знак Знак3"/>
    <w:basedOn w:val="865"/>
    <w:next w:val="902"/>
    <w:link w:val="86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903">
    <w:name w:val="Знак Знак Знак Знак4"/>
    <w:basedOn w:val="865"/>
    <w:next w:val="903"/>
    <w:link w:val="86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character" w:styleId="904">
    <w:name w:val="Body Text Char1"/>
    <w:next w:val="904"/>
    <w:link w:val="865"/>
    <w:uiPriority w:val="99"/>
    <w:rPr>
      <w:sz w:val="28"/>
      <w:szCs w:val="28"/>
    </w:rPr>
  </w:style>
  <w:style w:type="paragraph" w:styleId="905">
    <w:name w:val="Основной текст"/>
    <w:basedOn w:val="865"/>
    <w:next w:val="905"/>
    <w:link w:val="906"/>
    <w:uiPriority w:val="99"/>
    <w:pPr>
      <w:ind w:hanging="280"/>
      <w:jc w:val="both"/>
      <w:spacing w:before="900" w:line="475" w:lineRule="exact"/>
      <w:shd w:val="clear" w:color="auto" w:fill="ffffff"/>
    </w:pPr>
    <w:rPr>
      <w:rFonts w:ascii="Calibri" w:hAnsi="Calibri"/>
      <w:sz w:val="28"/>
      <w:szCs w:val="28"/>
      <w:lang w:val="en-US" w:eastAsia="en-US"/>
    </w:rPr>
  </w:style>
  <w:style w:type="character" w:styleId="906">
    <w:name w:val="Основной текст Знак"/>
    <w:next w:val="906"/>
    <w:link w:val="905"/>
    <w:uiPriority w:val="99"/>
    <w:rPr>
      <w:rFonts w:ascii="Calibri" w:hAnsi="Calibri" w:cs="Calibri"/>
      <w:sz w:val="28"/>
      <w:szCs w:val="28"/>
      <w:shd w:val="clear" w:color="auto" w:fill="ffffff"/>
    </w:rPr>
  </w:style>
  <w:style w:type="paragraph" w:styleId="907">
    <w:name w:val="Знак Знак Знак Знак5"/>
    <w:basedOn w:val="865"/>
    <w:next w:val="907"/>
    <w:link w:val="86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908">
    <w:name w:val="Знак Знак Знак Знак6"/>
    <w:basedOn w:val="865"/>
    <w:next w:val="908"/>
    <w:link w:val="86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909">
    <w:name w:val="Знак Знак Знак Знак7"/>
    <w:basedOn w:val="865"/>
    <w:next w:val="909"/>
    <w:link w:val="86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910">
    <w:name w:val="Текст сноски"/>
    <w:basedOn w:val="865"/>
    <w:next w:val="910"/>
    <w:link w:val="911"/>
    <w:uiPriority w:val="99"/>
    <w:pPr>
      <w:spacing w:after="200" w:line="276" w:lineRule="auto"/>
      <w:widowControl/>
    </w:pPr>
    <w:rPr>
      <w:rFonts w:ascii="Calibri" w:hAnsi="Calibri"/>
      <w:sz w:val="20"/>
      <w:szCs w:val="20"/>
      <w:lang w:val="en-US" w:eastAsia="en-US"/>
    </w:rPr>
  </w:style>
  <w:style w:type="character" w:styleId="911">
    <w:name w:val="Текст сноски Знак"/>
    <w:next w:val="911"/>
    <w:link w:val="910"/>
    <w:uiPriority w:val="99"/>
    <w:rPr>
      <w:rFonts w:ascii="Calibri" w:hAnsi="Calibri" w:cs="Calibri"/>
    </w:rPr>
  </w:style>
  <w:style w:type="character" w:styleId="912">
    <w:name w:val="Знак сноски"/>
    <w:next w:val="912"/>
    <w:link w:val="865"/>
    <w:uiPriority w:val="99"/>
    <w:rPr>
      <w:vertAlign w:val="superscript"/>
    </w:rPr>
  </w:style>
  <w:style w:type="paragraph" w:styleId="913">
    <w:name w:val="Схема документа"/>
    <w:basedOn w:val="865"/>
    <w:next w:val="913"/>
    <w:link w:val="914"/>
    <w:pPr>
      <w:spacing w:after="200" w:line="276" w:lineRule="auto"/>
      <w:shd w:val="clear" w:color="auto" w:fill="000080"/>
      <w:widowControl/>
    </w:pPr>
    <w:rPr>
      <w:rFonts w:ascii="Tahoma" w:hAnsi="Tahoma"/>
      <w:sz w:val="20"/>
      <w:szCs w:val="20"/>
      <w:lang w:val="en-US" w:eastAsia="en-US"/>
    </w:rPr>
  </w:style>
  <w:style w:type="character" w:styleId="914">
    <w:name w:val="Схема документа Знак"/>
    <w:next w:val="914"/>
    <w:link w:val="913"/>
    <w:rPr>
      <w:rFonts w:ascii="Tahoma" w:hAnsi="Tahoma" w:cs="Tahoma"/>
      <w:shd w:val="clear" w:color="auto" w:fill="000080"/>
    </w:rPr>
  </w:style>
  <w:style w:type="character" w:styleId="915">
    <w:name w:val="Знак концевой сноски"/>
    <w:next w:val="915"/>
    <w:link w:val="865"/>
    <w:rPr>
      <w:vertAlign w:val="superscript"/>
    </w:rPr>
  </w:style>
  <w:style w:type="paragraph" w:styleId="916">
    <w:name w:val="tekstob"/>
    <w:basedOn w:val="865"/>
    <w:next w:val="916"/>
    <w:link w:val="865"/>
    <w:pPr>
      <w:spacing w:before="100" w:beforeAutospacing="1" w:after="100" w:afterAutospacing="1"/>
      <w:widowControl/>
    </w:pPr>
    <w:rPr>
      <w:rFonts w:ascii="Times New Roman" w:hAnsi="Times New Roman"/>
      <w:sz w:val="24"/>
      <w:szCs w:val="24"/>
    </w:rPr>
  </w:style>
  <w:style w:type="paragraph" w:styleId="917">
    <w:name w:val="ConsNormal"/>
    <w:next w:val="917"/>
    <w:link w:val="865"/>
    <w:pPr>
      <w:ind w:firstLine="720"/>
    </w:pPr>
    <w:rPr>
      <w:rFonts w:ascii="Consultant" w:hAnsi="Consultant"/>
      <w:lang w:val="ru-RU" w:eastAsia="ru-RU" w:bidi="ar-SA"/>
    </w:rPr>
  </w:style>
  <w:style w:type="character" w:styleId="918">
    <w:name w:val="Номер страницы"/>
    <w:basedOn w:val="867"/>
    <w:next w:val="918"/>
    <w:link w:val="865"/>
  </w:style>
  <w:style w:type="paragraph" w:styleId="919">
    <w:name w:val="List Paragraph"/>
    <w:basedOn w:val="865"/>
    <w:next w:val="919"/>
    <w:link w:val="865"/>
    <w:pPr>
      <w:ind w:left="720"/>
      <w:widowControl/>
    </w:pPr>
    <w:rPr>
      <w:rFonts w:ascii="Times New Roman" w:hAnsi="Times New Roman" w:eastAsia="Calibri"/>
      <w:sz w:val="24"/>
      <w:szCs w:val="24"/>
    </w:rPr>
  </w:style>
  <w:style w:type="paragraph" w:styleId="920">
    <w:name w:val="Абзац списка"/>
    <w:basedOn w:val="865"/>
    <w:next w:val="920"/>
    <w:link w:val="865"/>
    <w:uiPriority w:val="34"/>
    <w:qFormat/>
    <w:pPr>
      <w:contextualSpacing/>
      <w:ind w:left="720"/>
      <w:spacing w:after="200" w:line="276" w:lineRule="auto"/>
      <w:widowControl/>
    </w:pPr>
    <w:rPr>
      <w:rFonts w:ascii="Calibri" w:hAnsi="Calibri" w:eastAsia="Calibri" w:cs="Times New Roman"/>
      <w:sz w:val="22"/>
      <w:szCs w:val="22"/>
      <w:lang w:eastAsia="en-US"/>
    </w:rPr>
  </w:style>
  <w:style w:type="paragraph" w:styleId="921">
    <w:name w:val="Без интервала"/>
    <w:next w:val="921"/>
    <w:link w:val="865"/>
    <w:uiPriority w:val="1"/>
    <w:qFormat/>
    <w:rPr>
      <w:sz w:val="24"/>
      <w:szCs w:val="24"/>
      <w:lang w:val="en-US" w:eastAsia="en-US" w:bidi="ar-SA"/>
    </w:rPr>
  </w:style>
  <w:style w:type="character" w:styleId="922">
    <w:name w:val="Обычный (веб) Знак,Обычный (Web) Знак"/>
    <w:next w:val="922"/>
    <w:link w:val="879"/>
    <w:uiPriority w:val="99"/>
    <w:rPr>
      <w:sz w:val="24"/>
      <w:szCs w:val="24"/>
    </w:rPr>
  </w:style>
  <w:style w:type="character" w:styleId="923">
    <w:name w:val="layout"/>
    <w:next w:val="923"/>
    <w:link w:val="865"/>
  </w:style>
  <w:style w:type="character" w:styleId="924" w:default="1">
    <w:name w:val="Default Paragraph Font"/>
    <w:uiPriority w:val="1"/>
    <w:semiHidden/>
    <w:unhideWhenUsed/>
  </w:style>
  <w:style w:type="numbering" w:styleId="925" w:default="1">
    <w:name w:val="No List"/>
    <w:uiPriority w:val="99"/>
    <w:semiHidden/>
    <w:unhideWhenUsed/>
  </w:style>
  <w:style w:type="table" w:styleId="926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Dnsoft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разработки</dc:title>
  <dc:creator>Экономист</dc:creator>
  <cp:revision>10</cp:revision>
  <dcterms:created xsi:type="dcterms:W3CDTF">2025-03-12T03:35:00Z</dcterms:created>
  <dcterms:modified xsi:type="dcterms:W3CDTF">2025-05-19T01:51:08Z</dcterms:modified>
  <cp:version>786432</cp:version>
</cp:coreProperties>
</file>