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56"/>
        <w:ind w:left="0" w:right="0"/>
        <w:spacing w:before="0" w:before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Российская Федерация</w:t>
      </w:r>
      <w:r>
        <w:rPr>
          <w:sz w:val="24"/>
          <w:szCs w:val="24"/>
        </w:rPr>
      </w:r>
    </w:p>
    <w:p>
      <w:pPr>
        <w:pStyle w:val="856"/>
        <w:ind w:left="0" w:right="0"/>
        <w:spacing w:before="0" w:before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pacing w:val="-52"/>
          <w:sz w:val="24"/>
          <w:szCs w:val="24"/>
        </w:rPr>
        <w:t xml:space="preserve"> </w:t>
      </w:r>
      <w:r>
        <w:rPr>
          <w:sz w:val="24"/>
          <w:szCs w:val="24"/>
        </w:rPr>
        <w:t xml:space="preserve">Иркутская область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 w:right="0"/>
        <w:jc w:val="center"/>
        <w:spacing w:before="0" w:beforeAutospacing="0" w:line="240" w:lineRule="auto"/>
        <w:rPr>
          <w:b/>
          <w:bCs/>
          <w:sz w:val="24"/>
          <w:szCs w:val="24"/>
        </w:rPr>
        <w:suppressLineNumbers w:val="0"/>
      </w:pPr>
      <w:r>
        <w:rPr>
          <w:b/>
          <w:sz w:val="24"/>
          <w:szCs w:val="24"/>
        </w:rPr>
        <w:t xml:space="preserve">Муниципальное образование «</w:t>
      </w:r>
      <w:r>
        <w:rPr>
          <w:b/>
          <w:sz w:val="24"/>
          <w:szCs w:val="24"/>
        </w:rPr>
        <w:t xml:space="preserve">Тайшетский</w:t>
      </w:r>
      <w:r>
        <w:rPr>
          <w:b/>
          <w:sz w:val="24"/>
          <w:szCs w:val="24"/>
        </w:rPr>
        <w:t xml:space="preserve"> район»</w:t>
      </w:r>
      <w:r>
        <w:rPr>
          <w:b/>
          <w:spacing w:val="-52"/>
          <w:sz w:val="24"/>
          <w:szCs w:val="24"/>
        </w:rPr>
        <w:t xml:space="preserve"> </w:t>
      </w:r>
      <w:r>
        <w:rPr>
          <w:b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ind w:left="0" w:right="0"/>
        <w:jc w:val="center"/>
        <w:spacing w:before="0" w:beforeAutospacing="0" w:line="240" w:lineRule="auto"/>
        <w:rPr>
          <w:b/>
          <w:bCs/>
          <w:sz w:val="24"/>
          <w:szCs w:val="24"/>
        </w:rPr>
        <w:suppressLineNumbers w:val="0"/>
      </w:pPr>
      <w:r>
        <w:rPr>
          <w:b/>
          <w:sz w:val="24"/>
          <w:szCs w:val="24"/>
        </w:rPr>
        <w:t xml:space="preserve">Тайшетское</w:t>
      </w:r>
      <w:r>
        <w:rPr>
          <w:b/>
          <w:sz w:val="24"/>
          <w:szCs w:val="24"/>
        </w:rPr>
        <w:t xml:space="preserve"> муниципальное образование</w:t>
      </w:r>
      <w:r>
        <w:rPr>
          <w:b/>
          <w:bCs/>
          <w:sz w:val="24"/>
          <w:szCs w:val="24"/>
        </w:rPr>
      </w:r>
      <w:r>
        <w:rPr>
          <w:sz w:val="24"/>
          <w:szCs w:val="24"/>
        </w:rPr>
      </w:r>
    </w:p>
    <w:p>
      <w:pPr>
        <w:ind w:left="0" w:right="0"/>
        <w:jc w:val="center"/>
        <w:spacing w:before="0" w:beforeAutospacing="0" w:line="240" w:lineRule="auto"/>
        <w:rPr>
          <w:b/>
          <w:bCs/>
          <w:sz w:val="24"/>
          <w:szCs w:val="24"/>
        </w:rPr>
        <w:suppressLineNumbers w:val="0"/>
      </w:pPr>
      <w:r>
        <w:rPr>
          <w:b/>
          <w:sz w:val="24"/>
          <w:szCs w:val="24"/>
        </w:rPr>
        <w:t xml:space="preserve">«</w:t>
      </w:r>
      <w:r>
        <w:rPr>
          <w:b/>
          <w:sz w:val="24"/>
          <w:szCs w:val="24"/>
        </w:rPr>
        <w:t xml:space="preserve">Тайшетское</w:t>
      </w:r>
      <w:r>
        <w:rPr>
          <w:b/>
          <w:sz w:val="24"/>
          <w:szCs w:val="24"/>
        </w:rPr>
        <w:t xml:space="preserve"> городское поселение»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pStyle w:val="856"/>
        <w:ind w:left="0" w:right="0" w:firstLine="0"/>
        <w:jc w:val="center"/>
        <w:spacing w:before="0" w:beforeAutospacing="0" w:line="240" w:lineRule="auto"/>
        <w:rPr>
          <w:sz w:val="28"/>
          <w:szCs w:val="28"/>
        </w:rPr>
        <w:suppressLineNumbers w:val="0"/>
      </w:pPr>
      <w:r>
        <w:rPr>
          <w:sz w:val="28"/>
          <w:szCs w:val="28"/>
        </w:rPr>
        <w:t xml:space="preserve">АДМИНИСТРАЦИЯ ТАЙШЕТСКОГО ГОРОДСКОГО ПОСЕЛЕНИЯ</w:t>
      </w:r>
      <w:r>
        <w:rPr>
          <w:spacing w:val="-52"/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56"/>
        <w:ind w:left="0" w:right="0" w:firstLine="0"/>
        <w:jc w:val="center"/>
        <w:spacing w:before="0" w:beforeAutospacing="0" w:line="240" w:lineRule="auto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  <w:highlight w:val="none"/>
        </w:rPr>
      </w:r>
    </w:p>
    <w:p>
      <w:pPr>
        <w:pStyle w:val="856"/>
        <w:ind w:left="0" w:right="0" w:firstLine="0"/>
        <w:jc w:val="center"/>
        <w:spacing w:before="0" w:beforeAutospacing="0" w:line="240" w:lineRule="auto"/>
        <w:rPr>
          <w:sz w:val="28"/>
          <w:szCs w:val="28"/>
          <w:highlight w:val="none"/>
        </w:rPr>
        <w:suppressLineNumbers w:val="0"/>
      </w:pP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 О С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 xml:space="preserve">Т А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 xml:space="preserve">Н О В Л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 xml:space="preserve">Е Н И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55"/>
        <w:ind w:left="0" w:right="0"/>
        <w:jc w:val="both"/>
        <w:spacing w:before="0" w:beforeAutospacing="0" w:line="240" w:lineRule="auto"/>
        <w:tabs>
          <w:tab w:val="left" w:pos="1362" w:leader="none"/>
          <w:tab w:val="left" w:pos="4468" w:leader="none"/>
          <w:tab w:val="left" w:pos="8717" w:leader="none"/>
        </w:tabs>
        <w:rPr>
          <w:sz w:val="24"/>
          <w:szCs w:val="24"/>
        </w:rPr>
        <w:suppressLineNumbers w:val="0"/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855"/>
        <w:contextualSpacing w:val="0"/>
        <w:ind w:left="0" w:right="0"/>
        <w:jc w:val="both"/>
        <w:spacing w:before="0" w:beforeAutospacing="0" w:line="240" w:lineRule="auto"/>
        <w:rPr>
          <w:sz w:val="24"/>
          <w:szCs w:val="24"/>
          <w:highlight w:val="none"/>
        </w:rPr>
        <w:suppressLineNumbers w:val="0"/>
      </w:pPr>
      <w:r>
        <w:rPr>
          <w:sz w:val="24"/>
          <w:szCs w:val="24"/>
        </w:rPr>
        <w:t xml:space="preserve">от</w:t>
      </w:r>
      <w:r>
        <w:rPr>
          <w:sz w:val="24"/>
          <w:szCs w:val="24"/>
        </w:rPr>
        <w:t xml:space="preserve"> 19.05.2025 г.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ab/>
        <w:tab/>
      </w:r>
      <w:r>
        <w:rPr>
          <w:sz w:val="24"/>
          <w:szCs w:val="24"/>
        </w:rPr>
        <w:t xml:space="preserve">г.</w:t>
      </w:r>
      <w:r>
        <w:rPr>
          <w:sz w:val="24"/>
          <w:szCs w:val="24"/>
        </w:rPr>
        <w:t xml:space="preserve">Тайшет</w:t>
      </w:r>
      <w:r>
        <w:rPr>
          <w:sz w:val="24"/>
          <w:szCs w:val="24"/>
        </w:rPr>
        <w:tab/>
        <w:tab/>
        <w:tab/>
        <w:tab/>
        <w:tab/>
        <w:t xml:space="preserve">№401</w:t>
      </w:r>
      <w:r>
        <w:rPr>
          <w:sz w:val="24"/>
          <w:szCs w:val="24"/>
        </w:rPr>
      </w:r>
    </w:p>
    <w:p>
      <w:pPr>
        <w:pStyle w:val="855"/>
        <w:ind w:left="0" w:right="0"/>
        <w:spacing w:before="0" w:beforeAutospacing="0" w:line="240" w:lineRule="auto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55"/>
        <w:ind w:left="0" w:right="4989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внесении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изменений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муниципальную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программу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«Обеспечение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первичных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мер</w:t>
      </w:r>
      <w:r>
        <w:rPr>
          <w:spacing w:val="-52"/>
          <w:sz w:val="24"/>
          <w:szCs w:val="24"/>
        </w:rPr>
        <w:t xml:space="preserve"> </w:t>
      </w:r>
      <w:r>
        <w:rPr>
          <w:sz w:val="24"/>
          <w:szCs w:val="24"/>
        </w:rPr>
        <w:t xml:space="preserve">пожарной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безопасности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территории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Тайшетского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 xml:space="preserve">муниципального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 xml:space="preserve">образования </w:t>
      </w:r>
      <w:r>
        <w:rPr>
          <w:sz w:val="24"/>
          <w:szCs w:val="24"/>
        </w:rPr>
      </w:r>
      <w:r>
        <w:rPr>
          <w:sz w:val="24"/>
          <w:szCs w:val="24"/>
        </w:rPr>
        <w:t xml:space="preserve">«</w:t>
      </w:r>
      <w:r>
        <w:rPr>
          <w:sz w:val="24"/>
          <w:szCs w:val="24"/>
        </w:rPr>
        <w:t xml:space="preserve">Тайшетское</w:t>
      </w:r>
      <w:r>
        <w:rPr>
          <w:sz w:val="24"/>
          <w:szCs w:val="24"/>
        </w:rPr>
        <w:t xml:space="preserve"> городское поселение» на 2024 -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2026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годы»,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утвержденной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постановлением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администрации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Тайшетского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городского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поселения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 xml:space="preserve">от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18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ноября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 xml:space="preserve">2022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года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 xml:space="preserve">№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 xml:space="preserve">990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55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55"/>
        <w:ind w:left="0" w:firstLine="720"/>
        <w:jc w:val="both"/>
        <w:tabs>
          <w:tab w:val="left" w:pos="850" w:leader="none"/>
        </w:tabs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Руководствуясь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 xml:space="preserve">Федеральными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 xml:space="preserve">законами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 xml:space="preserve">Российской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 xml:space="preserve">Федерации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 xml:space="preserve">от</w:t>
      </w:r>
      <w:r>
        <w:rPr>
          <w:spacing w:val="22"/>
          <w:sz w:val="24"/>
          <w:szCs w:val="24"/>
        </w:rPr>
        <w:t xml:space="preserve"> </w:t>
      </w:r>
      <w:r>
        <w:rPr>
          <w:sz w:val="24"/>
          <w:szCs w:val="24"/>
        </w:rPr>
        <w:t xml:space="preserve">21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 xml:space="preserve">декабря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 xml:space="preserve">1994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 xml:space="preserve">года </w:t>
      </w:r>
      <w:hyperlink r:id="rId9" w:tooltip="consultantplus://offline/ref%3D8470EE90C9EE1BD81D3A18F36919FC7428D88E1EC1C849B173078E7BDCi8Z0H" w:history="1">
        <w:r>
          <w:rPr>
            <w:sz w:val="24"/>
            <w:szCs w:val="24"/>
          </w:rPr>
          <w:t xml:space="preserve">№68-ФЗ</w:t>
        </w:r>
      </w:hyperlink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«О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защите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населения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территорий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от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чрезвычайных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ситуаций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природного</w:t>
      </w:r>
      <w:r>
        <w:rPr>
          <w:spacing w:val="56"/>
          <w:sz w:val="24"/>
          <w:szCs w:val="24"/>
        </w:rPr>
        <w:t xml:space="preserve"> </w:t>
      </w:r>
      <w:r>
        <w:rPr>
          <w:sz w:val="24"/>
          <w:szCs w:val="24"/>
        </w:rPr>
        <w:t xml:space="preserve"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техногенного</w:t>
      </w:r>
      <w:r>
        <w:rPr>
          <w:spacing w:val="22"/>
          <w:sz w:val="24"/>
          <w:szCs w:val="24"/>
        </w:rPr>
        <w:t xml:space="preserve"> </w:t>
      </w:r>
      <w:r>
        <w:rPr>
          <w:sz w:val="24"/>
          <w:szCs w:val="24"/>
        </w:rPr>
        <w:t xml:space="preserve">характера»,</w:t>
      </w:r>
      <w:r>
        <w:rPr>
          <w:spacing w:val="23"/>
          <w:sz w:val="24"/>
          <w:szCs w:val="24"/>
        </w:rPr>
        <w:t xml:space="preserve"> </w:t>
      </w:r>
      <w:r>
        <w:rPr>
          <w:sz w:val="24"/>
          <w:szCs w:val="24"/>
        </w:rPr>
        <w:t xml:space="preserve">от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 xml:space="preserve">21</w:t>
      </w:r>
      <w:r>
        <w:rPr>
          <w:spacing w:val="23"/>
          <w:sz w:val="24"/>
          <w:szCs w:val="24"/>
        </w:rPr>
        <w:t xml:space="preserve"> </w:t>
      </w:r>
      <w:r>
        <w:rPr>
          <w:sz w:val="24"/>
          <w:szCs w:val="24"/>
        </w:rPr>
        <w:t xml:space="preserve">декабря</w:t>
      </w:r>
      <w:r>
        <w:rPr>
          <w:spacing w:val="22"/>
          <w:sz w:val="24"/>
          <w:szCs w:val="24"/>
        </w:rPr>
        <w:t xml:space="preserve"> </w:t>
      </w:r>
      <w:r>
        <w:rPr>
          <w:sz w:val="24"/>
          <w:szCs w:val="24"/>
        </w:rPr>
        <w:t xml:space="preserve">1994</w:t>
      </w:r>
      <w:r>
        <w:rPr>
          <w:spacing w:val="23"/>
          <w:sz w:val="24"/>
          <w:szCs w:val="24"/>
        </w:rPr>
        <w:t xml:space="preserve"> </w:t>
      </w:r>
      <w:r>
        <w:rPr>
          <w:sz w:val="24"/>
          <w:szCs w:val="24"/>
        </w:rPr>
        <w:t xml:space="preserve">года</w:t>
      </w:r>
      <w:r>
        <w:rPr>
          <w:spacing w:val="23"/>
          <w:sz w:val="24"/>
          <w:szCs w:val="24"/>
        </w:rPr>
        <w:t xml:space="preserve"> </w:t>
      </w:r>
      <w:hyperlink r:id="rId10" w:tooltip="consultantplus://offline/ref%3D8470EE90C9EE1BD81D3A18F36919FC7428D88E1EC1CC49B173078E7BDCi8Z0H" w:history="1">
        <w:r>
          <w:rPr>
            <w:sz w:val="24"/>
            <w:szCs w:val="24"/>
          </w:rPr>
          <w:t xml:space="preserve">№69-ФЗ</w:t>
        </w:r>
        <w:r>
          <w:rPr>
            <w:spacing w:val="22"/>
            <w:sz w:val="24"/>
            <w:szCs w:val="24"/>
          </w:rPr>
          <w:t xml:space="preserve"> </w:t>
        </w:r>
      </w:hyperlink>
      <w:r>
        <w:rPr>
          <w:sz w:val="24"/>
          <w:szCs w:val="24"/>
        </w:rPr>
        <w:t xml:space="preserve">«О</w:t>
      </w:r>
      <w:r>
        <w:rPr>
          <w:spacing w:val="23"/>
          <w:sz w:val="24"/>
          <w:szCs w:val="24"/>
        </w:rPr>
        <w:t xml:space="preserve"> </w:t>
      </w:r>
      <w:r>
        <w:rPr>
          <w:sz w:val="24"/>
          <w:szCs w:val="24"/>
        </w:rPr>
        <w:t xml:space="preserve">пожарной</w:t>
      </w:r>
      <w:r>
        <w:rPr>
          <w:spacing w:val="22"/>
          <w:sz w:val="24"/>
          <w:szCs w:val="24"/>
        </w:rPr>
        <w:t xml:space="preserve"> </w:t>
      </w:r>
      <w:r>
        <w:rPr>
          <w:sz w:val="24"/>
          <w:szCs w:val="24"/>
        </w:rPr>
        <w:t xml:space="preserve">безопасности»,</w:t>
      </w:r>
      <w:r>
        <w:rPr>
          <w:spacing w:val="22"/>
          <w:sz w:val="24"/>
          <w:szCs w:val="24"/>
        </w:rPr>
        <w:t xml:space="preserve"> </w:t>
      </w:r>
      <w:hyperlink r:id="rId11" w:tooltip="consultantplus://offline/ref%3D8470EE90C9EE1BD81D3A18F36919FC7428D88E17C1CD49B173078E7BDC803D245464FBA93A460A05i4Z3H" w:history="1">
        <w:r>
          <w:rPr>
            <w:sz w:val="24"/>
            <w:szCs w:val="24"/>
          </w:rPr>
          <w:t xml:space="preserve">статьей</w:t>
        </w:r>
      </w:hyperlink>
      <w:r>
        <w:rPr>
          <w:spacing w:val="-53"/>
          <w:sz w:val="24"/>
          <w:szCs w:val="24"/>
        </w:rPr>
        <w:t xml:space="preserve"> </w:t>
      </w:r>
      <w:hyperlink r:id="rId12" w:tooltip="consultantplus://offline/ref%3D8470EE90C9EE1BD81D3A18F36919FC7428D88E17C1CD49B173078E7BDC803D245464FBA93A460A05i4Z3H" w:history="1">
        <w:r>
          <w:rPr>
            <w:sz w:val="24"/>
            <w:szCs w:val="24"/>
          </w:rPr>
          <w:t xml:space="preserve">14</w:t>
        </w:r>
      </w:hyperlink>
      <w:r>
        <w:rPr>
          <w:sz w:val="24"/>
          <w:szCs w:val="24"/>
        </w:rPr>
        <w:t xml:space="preserve"> Федерального закона Российской Федерации от 06 октября 2003года №131-ФЗ «Об общих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принципах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организации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местного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самоуправления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Российской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Федерации»,</w:t>
      </w:r>
      <w:r>
        <w:rPr>
          <w:spacing w:val="1"/>
          <w:sz w:val="24"/>
          <w:szCs w:val="24"/>
        </w:rPr>
        <w:t xml:space="preserve"> </w:t>
      </w:r>
      <w:hyperlink r:id="rId13" w:tooltip="consultantplus://offline/ref%3D8470EE90C9EE1BD81D3A18F36919FC742BDF861ECACD49B173078E7BDCi8Z0H" w:history="1">
        <w:r>
          <w:rPr>
            <w:sz w:val="24"/>
            <w:szCs w:val="24"/>
          </w:rPr>
          <w:t xml:space="preserve">постановлением</w:t>
        </w:r>
      </w:hyperlink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Правительства Российской Федерации от 30 декабря 2003</w:t>
      </w:r>
      <w:r>
        <w:rPr>
          <w:sz w:val="24"/>
          <w:szCs w:val="24"/>
        </w:rPr>
        <w:t xml:space="preserve"> года №794 «О единой государственной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системе предупреждения и ликвидации чрезвычайных ситуаций» и статьей 6 Устава Тайшетского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муниципального образования «</w:t>
      </w:r>
      <w:r>
        <w:rPr>
          <w:sz w:val="24"/>
          <w:szCs w:val="24"/>
        </w:rPr>
        <w:t xml:space="preserve">Тайшетское</w:t>
      </w:r>
      <w:r>
        <w:rPr>
          <w:sz w:val="24"/>
          <w:szCs w:val="24"/>
        </w:rPr>
        <w:t xml:space="preserve"> городское поселение», администрация Тайшетского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городского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 xml:space="preserve">поселения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55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56"/>
        <w:ind w:left="0"/>
        <w:jc w:val="both"/>
        <w:rPr>
          <w:sz w:val="28"/>
          <w:szCs w:val="28"/>
        </w:rPr>
        <w:suppressLineNumbers w:val="0"/>
      </w:pPr>
      <w:r>
        <w:rPr>
          <w:sz w:val="28"/>
          <w:szCs w:val="28"/>
        </w:rPr>
        <w:t xml:space="preserve">П О С Т А Н О В Л Я Е Т: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55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left="0" w:firstLine="720"/>
        <w:jc w:val="both"/>
        <w:tabs>
          <w:tab w:val="left" w:pos="709" w:leader="none"/>
          <w:tab w:val="left" w:pos="1414" w:leader="none"/>
        </w:tabs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1. Внести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изменения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муниципальную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программу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«Обеспечение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первичных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мер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пожарной безопасности на территории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Тайшетского муниципального образования «</w:t>
      </w:r>
      <w:r>
        <w:rPr>
          <w:sz w:val="24"/>
          <w:szCs w:val="24"/>
        </w:rPr>
        <w:t xml:space="preserve">Тайшетское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городское поселение» на 2024-2026 годы»</w:t>
      </w:r>
      <w:r>
        <w:rPr>
          <w:sz w:val="24"/>
          <w:szCs w:val="24"/>
        </w:rPr>
        <w:t xml:space="preserve">,</w:t>
      </w:r>
      <w:r>
        <w:rPr>
          <w:sz w:val="24"/>
          <w:szCs w:val="24"/>
        </w:rPr>
        <w:t xml:space="preserve"> утвержд</w:t>
      </w:r>
      <w:r>
        <w:rPr>
          <w:sz w:val="24"/>
          <w:szCs w:val="24"/>
        </w:rPr>
        <w:t xml:space="preserve">енную</w:t>
      </w:r>
      <w:r>
        <w:rPr>
          <w:sz w:val="24"/>
          <w:szCs w:val="24"/>
        </w:rPr>
        <w:t xml:space="preserve"> постановлением администрации </w:t>
      </w:r>
      <w:r>
        <w:rPr>
          <w:sz w:val="24"/>
          <w:szCs w:val="24"/>
        </w:rPr>
        <w:t xml:space="preserve">Тайшетского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городского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 xml:space="preserve">поселения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от 18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ноября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2022 года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№</w:t>
      </w:r>
      <w:r>
        <w:rPr>
          <w:sz w:val="24"/>
          <w:szCs w:val="24"/>
        </w:rPr>
        <w:t xml:space="preserve">990: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 w:right="0"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1.1. Приложение 1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 xml:space="preserve">муниципальной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 xml:space="preserve">программы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 xml:space="preserve">изложить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 xml:space="preserve">в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 xml:space="preserve">следующей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 xml:space="preserve">редакции (приложение)</w:t>
      </w:r>
      <w:r>
        <w:rPr>
          <w:sz w:val="24"/>
          <w:szCs w:val="24"/>
        </w:rPr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 w:right="0" w:firstLine="720"/>
        <w:jc w:val="both"/>
        <w:tabs>
          <w:tab w:val="left" w:pos="1260" w:leader="none"/>
        </w:tabs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2. Начальнику отдела по организационной работе, контролю и делопроизводству администрации Тайшетского городского поселения Бычковой В.Д. обеспечить опубликование настоящего постановления в средствах массовой информации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930"/>
        <w:jc w:val="both"/>
        <w:tabs>
          <w:tab w:val="left" w:pos="1260" w:leader="none"/>
        </w:tabs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930"/>
        <w:jc w:val="both"/>
        <w:tabs>
          <w:tab w:val="left" w:pos="1260" w:leader="none"/>
        </w:tabs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930"/>
        <w:jc w:val="both"/>
        <w:tabs>
          <w:tab w:val="left" w:pos="1260" w:leader="none"/>
        </w:tabs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283"/>
        <w:jc w:val="both"/>
        <w:tabs>
          <w:tab w:val="left" w:pos="1260" w:leader="none"/>
        </w:tabs>
        <w:rPr>
          <w:sz w:val="24"/>
          <w:szCs w:val="24"/>
        </w:rPr>
      </w:pPr>
      <w:r>
        <w:rPr>
          <w:sz w:val="24"/>
          <w:szCs w:val="24"/>
        </w:rPr>
        <w:t xml:space="preserve">Глава Тайшетского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283"/>
        <w:jc w:val="both"/>
        <w:tabs>
          <w:tab w:val="left" w:pos="1260" w:leader="none"/>
        </w:tabs>
        <w:rPr>
          <w:sz w:val="24"/>
          <w:szCs w:val="24"/>
        </w:rPr>
      </w:pPr>
      <w:r>
        <w:rPr>
          <w:sz w:val="24"/>
          <w:szCs w:val="24"/>
        </w:rPr>
        <w:t xml:space="preserve">городского  поселения </w:t>
        <w:tab/>
        <w:tab/>
        <w:tab/>
        <w:tab/>
        <w:tab/>
        <w:tab/>
        <w:tab/>
        <w:t xml:space="preserve">Р.О. Леоненко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right="-31"/>
        <w:jc w:val="both"/>
        <w:rPr>
          <w:sz w:val="24"/>
          <w:szCs w:val="24"/>
        </w:rPr>
        <w:outlineLvl w:val="1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right="-31"/>
        <w:jc w:val="both"/>
        <w:rPr>
          <w:sz w:val="24"/>
          <w:szCs w:val="24"/>
        </w:rPr>
        <w:outlineLvl w:val="1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right="-31"/>
        <w:rPr>
          <w:sz w:val="24"/>
          <w:szCs w:val="24"/>
        </w:rPr>
        <w:outlineLvl w:val="1"/>
      </w:pPr>
      <w:r>
        <w:rPr>
          <w:sz w:val="24"/>
          <w:szCs w:val="24"/>
        </w:rPr>
        <w:t xml:space="preserve">Исп.: </w:t>
      </w:r>
      <w:r>
        <w:rPr>
          <w:sz w:val="24"/>
          <w:szCs w:val="24"/>
        </w:rPr>
        <w:t xml:space="preserve">Ерачин</w:t>
      </w:r>
      <w:r>
        <w:rPr>
          <w:sz w:val="24"/>
          <w:szCs w:val="24"/>
        </w:rPr>
        <w:t xml:space="preserve"> Е.А.</w:t>
      </w:r>
      <w:r>
        <w:rPr>
          <w:sz w:val="24"/>
          <w:szCs w:val="24"/>
        </w:rPr>
      </w:r>
    </w:p>
    <w:p>
      <w:pPr>
        <w:ind w:right="-31"/>
        <w:rPr>
          <w:sz w:val="24"/>
          <w:szCs w:val="24"/>
        </w:rPr>
        <w:outlineLvl w:val="1"/>
      </w:pPr>
      <w:r>
        <w:rPr>
          <w:sz w:val="24"/>
          <w:szCs w:val="24"/>
        </w:rPr>
        <w:t xml:space="preserve">тел. 2-17-71</w:t>
      </w:r>
      <w:r>
        <w:rPr>
          <w:sz w:val="24"/>
          <w:szCs w:val="24"/>
        </w:rPr>
      </w:r>
    </w:p>
    <w:p>
      <w:pPr>
        <w:ind w:right="-31"/>
        <w:jc w:val="right"/>
        <w:sectPr>
          <w:footnotePr/>
          <w:endnotePr/>
          <w:type w:val="nextPage"/>
          <w:pgSz w:w="11910" w:h="16840" w:orient="portrait"/>
          <w:pgMar w:top="1134" w:right="850" w:bottom="1134" w:left="1701" w:header="709" w:footer="709" w:gutter="0"/>
          <w:cols w:num="1" w:sep="0" w:space="1701" w:equalWidth="1"/>
          <w:docGrid w:linePitch="360"/>
        </w:sectPr>
        <w:outlineLvl w:val="1"/>
      </w:pPr>
      <w:r/>
      <w:r/>
    </w:p>
    <w:p>
      <w:pPr>
        <w:ind w:right="-31"/>
        <w:jc w:val="right"/>
        <w:rPr>
          <w:sz w:val="24"/>
          <w:szCs w:val="24"/>
        </w:rPr>
        <w:outlineLvl w:val="1"/>
      </w:pPr>
      <w:r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right="-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постановлению администрации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right="-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Тайшетского городского поселения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right="-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19 мая 2025 года №401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right="-6"/>
        <w:jc w:val="righ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right="-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«Приложение 1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right="-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муниципальной программе «Обеспечения первичных мер безопасности на территории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right="-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Тайшетского муниципального образования «</w:t>
      </w:r>
      <w:r>
        <w:rPr>
          <w:sz w:val="24"/>
          <w:szCs w:val="24"/>
        </w:rPr>
        <w:t xml:space="preserve">Тайшетское</w:t>
      </w:r>
      <w:r>
        <w:rPr>
          <w:sz w:val="24"/>
          <w:szCs w:val="24"/>
        </w:rPr>
        <w:t xml:space="preserve"> городское поселение» на 2024-2026 годы»,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right="-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утвержденной постановлением администрации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right="-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Тайшетского городского поселения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right="-6"/>
        <w:jc w:val="right"/>
        <w:rPr>
          <w:sz w:val="24"/>
          <w:szCs w:val="24"/>
          <w:highlight w:val="none"/>
        </w:rPr>
      </w:pPr>
      <w:r>
        <w:rPr>
          <w:sz w:val="24"/>
          <w:szCs w:val="24"/>
        </w:rPr>
        <w:t xml:space="preserve">от 18 ноября 2022 года №99</w:t>
      </w:r>
      <w:r>
        <w:rPr>
          <w:sz w:val="24"/>
          <w:szCs w:val="24"/>
        </w:rPr>
        <w:t xml:space="preserve">0</w:t>
      </w:r>
      <w:r/>
    </w:p>
    <w:p>
      <w:pPr>
        <w:ind w:right="-6"/>
        <w:jc w:val="right"/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СИСТЕМА МЕРОПРИЯТИЙ И ОЖИДАЕМЫЕ РЕЗУЛЬТАТЫ РЕАЛИЗАЦИИ МУНИЦИПАЛЬНОЙ ПРОГРАММЫ</w:t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854"/>
        <w:tblW w:w="4938" w:type="pct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right w:w="108" w:type="dxa"/>
        </w:tblCellMar>
        <w:tblLook w:val="01E0" w:firstRow="1" w:lastRow="1" w:firstColumn="1" w:lastColumn="1" w:noHBand="0" w:noVBand="0"/>
      </w:tblPr>
      <w:tblGrid>
        <w:gridCol w:w="567"/>
        <w:gridCol w:w="1984"/>
        <w:gridCol w:w="992"/>
        <w:gridCol w:w="709"/>
        <w:gridCol w:w="1134"/>
        <w:gridCol w:w="850"/>
        <w:gridCol w:w="709"/>
        <w:gridCol w:w="709"/>
        <w:gridCol w:w="567"/>
        <w:gridCol w:w="709"/>
        <w:gridCol w:w="709"/>
        <w:gridCol w:w="709"/>
        <w:gridCol w:w="1134"/>
        <w:gridCol w:w="567"/>
        <w:gridCol w:w="992"/>
        <w:gridCol w:w="709"/>
        <w:gridCol w:w="709"/>
        <w:gridCol w:w="709"/>
      </w:tblGrid>
      <w:tr>
        <w:tblPrEx/>
        <w:trPr/>
        <w:tc>
          <w:tcPr>
            <w:tcW w:w="567" w:type="dxa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№ </w:t>
            </w:r>
            <w:r>
              <w:t xml:space="preserve">п</w:t>
            </w:r>
            <w:r>
              <w:t xml:space="preserve">/п</w:t>
            </w:r>
            <w:r/>
          </w:p>
        </w:tc>
        <w:tc>
          <w:tcPr>
            <w:tcW w:w="1984" w:type="dxa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Наименование основных мероприятий</w:t>
            </w:r>
            <w:r/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Ответственный исполнитель и соисполнители</w:t>
            </w:r>
            <w:r/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suppressLineNumbers w:val="0"/>
            </w:pPr>
            <w:r>
              <w:t xml:space="preserve">Период реализации</w:t>
            </w:r>
            <w:r/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Источники финансирования</w:t>
            </w:r>
            <w:r/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Объем финансирования всего, тыс. руб.</w:t>
            </w:r>
            <w:r/>
          </w:p>
        </w:tc>
        <w:tc>
          <w:tcPr>
            <w:gridSpan w:val="3"/>
            <w:tcW w:w="1984" w:type="dxa"/>
            <w:textDirection w:val="lrTb"/>
            <w:noWrap w:val="false"/>
          </w:tcPr>
          <w:p>
            <w:pPr>
              <w:jc w:val="both"/>
            </w:pPr>
            <w:r>
              <w:t xml:space="preserve">Код бюджетной </w:t>
            </w:r>
            <w:r>
              <w:br/>
              <w:t xml:space="preserve">классификации </w:t>
            </w:r>
            <w:r/>
            <w:r/>
            <w:r/>
            <w:r/>
          </w:p>
        </w:tc>
        <w:tc>
          <w:tcPr>
            <w:gridSpan w:val="3"/>
            <w:tcW w:w="2126" w:type="dxa"/>
            <w:textDirection w:val="lrTb"/>
            <w:noWrap w:val="false"/>
          </w:tcPr>
          <w:p>
            <w:pPr>
              <w:jc w:val="center"/>
            </w:pPr>
            <w:r>
              <w:t xml:space="preserve">В том числе по годам</w:t>
            </w:r>
            <w:r/>
          </w:p>
        </w:tc>
        <w:tc>
          <w:tcPr>
            <w:gridSpan w:val="6"/>
            <w:tcW w:w="4819" w:type="dxa"/>
            <w:textDirection w:val="lrTb"/>
            <w:noWrap w:val="false"/>
          </w:tcPr>
          <w:p>
            <w:pPr>
              <w:jc w:val="center"/>
            </w:pPr>
            <w:r>
              <w:t xml:space="preserve">Ожидаемые результаты реализации муниципальной программы</w:t>
            </w:r>
            <w:r/>
          </w:p>
        </w:tc>
      </w:tr>
      <w:tr>
        <w:tblPrEx/>
        <w:trPr>
          <w:trHeight w:val="253"/>
        </w:trPr>
        <w:tc>
          <w:tcPr>
            <w:tcW w:w="567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992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709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134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jc w:val="both"/>
            </w:pPr>
            <w:r>
              <w:t xml:space="preserve">Рз</w:t>
            </w:r>
            <w:r>
              <w:t xml:space="preserve"> </w:t>
            </w:r>
            <w:r>
              <w:t xml:space="preserve">Пр</w:t>
            </w:r>
            <w:r/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jc w:val="both"/>
            </w:pPr>
            <w:r>
              <w:t xml:space="preserve">ЦСР</w:t>
            </w:r>
            <w:r/>
          </w:p>
        </w:tc>
        <w:tc>
          <w:tcPr>
            <w:tcW w:w="567" w:type="dxa"/>
            <w:vMerge w:val="restart"/>
            <w:textDirection w:val="lrTb"/>
            <w:noWrap w:val="false"/>
          </w:tcPr>
          <w:p>
            <w:pPr>
              <w:jc w:val="both"/>
            </w:pPr>
            <w:r>
              <w:t xml:space="preserve">ВР</w:t>
            </w:r>
            <w:r/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2024год</w:t>
            </w:r>
            <w:r/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2025 год</w:t>
            </w:r>
            <w:r/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2026</w:t>
            </w:r>
            <w:r/>
          </w:p>
          <w:p>
            <w:pPr>
              <w:jc w:val="center"/>
            </w:pPr>
            <w:r>
              <w:t xml:space="preserve">год</w:t>
            </w:r>
            <w:r/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ind w:left="-24"/>
              <w:jc w:val="center"/>
            </w:pPr>
            <w:r>
              <w:t xml:space="preserve">Наименование показателя результативности</w:t>
            </w:r>
            <w:r/>
          </w:p>
        </w:tc>
        <w:tc>
          <w:tcPr>
            <w:tcW w:w="567" w:type="dxa"/>
            <w:vMerge w:val="restart"/>
            <w:textDirection w:val="lrTb"/>
            <w:noWrap w:val="false"/>
          </w:tcPr>
          <w:p>
            <w:pPr>
              <w:ind w:right="-67"/>
              <w:jc w:val="center"/>
            </w:pPr>
            <w:r>
              <w:t xml:space="preserve">Ед. изм.</w:t>
            </w:r>
            <w:r/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suppressLineNumbers w:val="0"/>
            </w:pPr>
            <w:r>
              <w:t xml:space="preserve">Базовое значение показателя результативности за __ год</w:t>
            </w:r>
            <w:r/>
          </w:p>
        </w:tc>
        <w:tc>
          <w:tcPr>
            <w:gridSpan w:val="3"/>
            <w:tcW w:w="2126" w:type="dxa"/>
            <w:textDirection w:val="lrTb"/>
            <w:noWrap w:val="false"/>
          </w:tcPr>
          <w:p>
            <w:pPr>
              <w:ind w:left="-47" w:right="-95"/>
              <w:jc w:val="center"/>
            </w:pPr>
            <w:r>
              <w:t xml:space="preserve">Значение показателя результативности по годам реализации муниципальной программы</w:t>
            </w:r>
            <w:r/>
          </w:p>
        </w:tc>
      </w:tr>
      <w:tr>
        <w:tblPrEx/>
        <w:trPr/>
        <w:tc>
          <w:tcPr>
            <w:tcW w:w="567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992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709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134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709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709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567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709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709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709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134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567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992" w:type="dxa"/>
            <w:vMerge w:val="continue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47"/>
              <w:jc w:val="center"/>
            </w:pPr>
            <w:r>
              <w:t xml:space="preserve">2024 год</w:t>
            </w:r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</w:pPr>
            <w:r>
              <w:t xml:space="preserve">2025</w:t>
            </w:r>
            <w:r/>
          </w:p>
          <w:p>
            <w:pPr>
              <w:jc w:val="center"/>
            </w:pPr>
            <w:r>
              <w:t xml:space="preserve">год</w:t>
            </w:r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</w:pPr>
            <w:r>
              <w:t xml:space="preserve">2026</w:t>
            </w:r>
            <w:r/>
          </w:p>
          <w:p>
            <w:pPr>
              <w:jc w:val="center"/>
            </w:pPr>
            <w:r>
              <w:t xml:space="preserve">год</w:t>
            </w:r>
            <w:r/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>
              <w:t xml:space="preserve">1</w:t>
            </w:r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jc w:val="center"/>
            </w:pPr>
            <w:r>
              <w:t xml:space="preserve">2</w:t>
            </w:r>
            <w:r/>
          </w:p>
        </w:tc>
        <w:tc>
          <w:tcPr>
            <w:tcW w:w="992" w:type="dxa"/>
            <w:textDirection w:val="lrTb"/>
            <w:noWrap w:val="false"/>
          </w:tcPr>
          <w:p>
            <w:pPr>
              <w:jc w:val="center"/>
            </w:pPr>
            <w:r>
              <w:t xml:space="preserve">3</w:t>
            </w:r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</w:pPr>
            <w:r>
              <w:t xml:space="preserve">4</w:t>
            </w:r>
            <w:r/>
          </w:p>
        </w:tc>
        <w:tc>
          <w:tcPr>
            <w:tcW w:w="1134" w:type="dxa"/>
            <w:textDirection w:val="lrTb"/>
            <w:noWrap w:val="false"/>
          </w:tcPr>
          <w:p>
            <w:pPr>
              <w:jc w:val="center"/>
            </w:pPr>
            <w:r>
              <w:t xml:space="preserve">5</w:t>
            </w:r>
            <w:r/>
          </w:p>
        </w:tc>
        <w:tc>
          <w:tcPr>
            <w:tcW w:w="850" w:type="dxa"/>
            <w:textDirection w:val="lrTb"/>
            <w:noWrap w:val="false"/>
          </w:tcPr>
          <w:p>
            <w:pPr>
              <w:jc w:val="center"/>
            </w:pPr>
            <w:r>
              <w:t xml:space="preserve">6</w:t>
            </w:r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</w:pPr>
            <w:r>
              <w:t xml:space="preserve">7</w:t>
            </w:r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</w:pPr>
            <w:r>
              <w:t xml:space="preserve">8</w:t>
            </w:r>
            <w:r/>
          </w:p>
        </w:tc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>
              <w:t xml:space="preserve">9</w:t>
            </w:r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</w:pPr>
            <w:r>
              <w:t xml:space="preserve">10</w:t>
            </w:r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</w:pPr>
            <w:r>
              <w:t xml:space="preserve">11</w:t>
            </w:r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</w:pPr>
            <w:r>
              <w:t xml:space="preserve">12</w:t>
            </w:r>
            <w:r/>
          </w:p>
        </w:tc>
        <w:tc>
          <w:tcPr>
            <w:tcW w:w="1134" w:type="dxa"/>
            <w:textDirection w:val="lrTb"/>
            <w:noWrap w:val="false"/>
          </w:tcPr>
          <w:p>
            <w:pPr>
              <w:jc w:val="center"/>
            </w:pPr>
            <w:r>
              <w:t xml:space="preserve">13</w:t>
            </w:r>
            <w:r/>
          </w:p>
        </w:tc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>
              <w:t xml:space="preserve">14</w:t>
            </w:r>
            <w:r/>
          </w:p>
        </w:tc>
        <w:tc>
          <w:tcPr>
            <w:tcW w:w="992" w:type="dxa"/>
            <w:textDirection w:val="lrTb"/>
            <w:noWrap w:val="false"/>
          </w:tcPr>
          <w:p>
            <w:pPr>
              <w:jc w:val="center"/>
            </w:pPr>
            <w:r>
              <w:t xml:space="preserve">15</w:t>
            </w:r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</w:pPr>
            <w:r>
              <w:t xml:space="preserve">16</w:t>
            </w:r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</w:pPr>
            <w:r>
              <w:t xml:space="preserve">17</w:t>
            </w:r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</w:pPr>
            <w:r>
              <w:t xml:space="preserve">18</w:t>
            </w:r>
            <w:r/>
          </w:p>
        </w:tc>
      </w:tr>
      <w:tr>
        <w:tblPrEx/>
        <w:trPr>
          <w:trHeight w:val="850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Муниципальная программа «Обеспечение первичных мер пожарной безопасности на территории Тайшетского муниципального </w:t>
            </w:r>
            <w:r>
              <w:rPr>
                <w:sz w:val="22"/>
                <w:szCs w:val="22"/>
              </w:rPr>
              <w:t xml:space="preserve">образования «</w:t>
            </w:r>
            <w:r>
              <w:rPr>
                <w:sz w:val="22"/>
                <w:szCs w:val="22"/>
              </w:rPr>
              <w:t xml:space="preserve">Тайшетское</w:t>
            </w:r>
            <w:r>
              <w:rPr>
                <w:sz w:val="22"/>
                <w:szCs w:val="22"/>
              </w:rPr>
              <w:t xml:space="preserve"> городское поселение» на 2024-2026 годы» </w:t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2024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2171,7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0412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8100001060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244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546,</w:t>
            </w: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1162,</w:t>
            </w: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463,0</w:t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>
              <w:t xml:space="preserve">1.</w:t>
            </w:r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Задача 1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Повышение устойчивости безаварийной работы и своевременного технического обслуживания источников наружного пожарного водоснабжения. </w:t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отдел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ЖКХ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45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b/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Заключение муниципального контракта на обслуживание пожарных гидрантов.</w: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 отдел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 ЖКХ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бюджет Тайшетского городского поселения</w:t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680,0 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0412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8100001060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244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230,</w:t>
            </w: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110</w:t>
            </w:r>
            <w:r>
              <w:rPr>
                <w:sz w:val="22"/>
                <w:szCs w:val="22"/>
              </w:rPr>
              <w:t xml:space="preserve">,0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340,</w:t>
            </w: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pacing w:val="-6"/>
                <w:sz w:val="22"/>
                <w:szCs w:val="22"/>
              </w:rPr>
              <w:suppressLineNumbers w:val="0"/>
            </w:pPr>
            <w:r>
              <w:rPr>
                <w:spacing w:val="-6"/>
                <w:sz w:val="22"/>
                <w:szCs w:val="22"/>
              </w:rPr>
              <w:t xml:space="preserve">Количество источников наружного водоснабжения.</w:t>
            </w:r>
            <w:r>
              <w:rPr>
                <w:spacing w:val="-6"/>
                <w:sz w:val="22"/>
                <w:szCs w:val="22"/>
              </w:rPr>
            </w:r>
            <w:r>
              <w:rPr>
                <w:spacing w:val="-6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шт</w:t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52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52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52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52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45"/>
        </w:trPr>
        <w:tc>
          <w:tcPr>
            <w:tcW w:w="567" w:type="dxa"/>
            <w:vMerge w:val="restart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Предоставление субсидии  на возмещение затрат на выполнение работ по обеспечению надлежащего функционирования и состояния пожарных гидрантов</w:t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отдел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  ЖКХ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615,7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0412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8100001060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631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615,</w:t>
            </w: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pacing w:val="-6"/>
                <w:sz w:val="22"/>
                <w:szCs w:val="22"/>
              </w:rPr>
              <w:suppressLineNumbers w:val="0"/>
            </w:pPr>
            <w:r>
              <w:rPr>
                <w:spacing w:val="-6"/>
                <w:sz w:val="22"/>
                <w:szCs w:val="22"/>
              </w:rPr>
            </w:r>
            <w:r>
              <w:rPr>
                <w:spacing w:val="-6"/>
                <w:sz w:val="22"/>
                <w:szCs w:val="22"/>
              </w:rPr>
            </w:r>
            <w:r>
              <w:rPr>
                <w:spacing w:val="-6"/>
                <w:sz w:val="22"/>
                <w:szCs w:val="22"/>
              </w:rPr>
            </w:r>
          </w:p>
        </w:tc>
        <w:tc>
          <w:tcPr>
            <w:tcW w:w="567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437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Контроль за</w:t>
            </w:r>
            <w:r>
              <w:rPr>
                <w:sz w:val="22"/>
                <w:szCs w:val="22"/>
              </w:rPr>
              <w:t xml:space="preserve"> безаварийной работой и своевременным техническим обслуживанием источников наружного пожарного водоснабжения.</w:t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отдел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ЖКХ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tabs>
                <w:tab w:val="left" w:pos="459" w:leader="none"/>
              </w:tabs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6 ПСО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Финансирования не требуется</w:t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0412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8100001060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244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 _  » _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52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52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52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52</w:t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 Задача 2. Реализация первоочередных мер по противопожарной защите жилья, муниципальных учреждений, иных объектов массового нахождения людей</w:t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850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Разработка и организация выполнения муниципальной программы по вопросам обеспечения пожарной безопасности</w:t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отдел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 ЖКХ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Финансирования не требуется</w:t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0412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8100001060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244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pacing w:val="-6"/>
                <w:sz w:val="22"/>
                <w:szCs w:val="22"/>
              </w:rPr>
              <w:suppressLineNumbers w:val="0"/>
            </w:pPr>
            <w:r>
              <w:rPr>
                <w:spacing w:val="-6"/>
                <w:sz w:val="22"/>
                <w:szCs w:val="22"/>
              </w:rPr>
              <w:t xml:space="preserve">Обеспечение условий для реализации полномочий по обеспечению первичных мер пожарной безопасности защиты жизни и здоровья граждан, материальных ценностей</w:t>
            </w:r>
            <w:r>
              <w:rPr>
                <w:spacing w:val="-6"/>
                <w:sz w:val="22"/>
                <w:szCs w:val="22"/>
              </w:rPr>
            </w:r>
            <w:r>
              <w:rPr>
                <w:spacing w:val="-6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Корректировка плана </w:t>
            </w:r>
            <w:r>
              <w:rPr>
                <w:sz w:val="22"/>
                <w:szCs w:val="22"/>
              </w:rPr>
              <w:t xml:space="preserve">привлечения сил и сре</w:t>
            </w:r>
            <w:r>
              <w:rPr>
                <w:sz w:val="22"/>
                <w:szCs w:val="22"/>
              </w:rPr>
              <w:t xml:space="preserve">дств дл</w:t>
            </w:r>
            <w:r>
              <w:rPr>
                <w:sz w:val="22"/>
                <w:szCs w:val="22"/>
              </w:rPr>
              <w:t xml:space="preserve">я тушения пожаров и проведения аварийно-спасательных работ на территории ТГП и контроль за его выполнением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  отдел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 ЖКХ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tabs>
                <w:tab w:val="left" w:pos="459" w:leader="none"/>
              </w:tabs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 6 ПСО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Финансирования </w:t>
            </w:r>
            <w:r>
              <w:rPr>
                <w:sz w:val="22"/>
                <w:szCs w:val="22"/>
              </w:rPr>
              <w:t xml:space="preserve">не требуется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0412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8100</w:t>
            </w:r>
            <w:r>
              <w:rPr>
                <w:sz w:val="22"/>
                <w:szCs w:val="22"/>
              </w:rPr>
              <w:t xml:space="preserve">001060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244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обеспечен</w:t>
            </w:r>
            <w:r>
              <w:rPr>
                <w:sz w:val="22"/>
                <w:szCs w:val="22"/>
              </w:rPr>
              <w:t xml:space="preserve">ие готовности к защите жизни, здоровья граждан и материальных ценностей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Установление особого </w:t>
            </w:r>
            <w:r>
              <w:rPr>
                <w:spacing w:val="-6"/>
                <w:sz w:val="22"/>
                <w:szCs w:val="22"/>
              </w:rPr>
              <w:t xml:space="preserve">противопожарного режима на территории ТГП, а также дополнительных требований пожарной безопасности на время его действия</w:t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 отдел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ЖКХ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ОНД и </w:t>
            </w:r>
            <w:r>
              <w:rPr>
                <w:sz w:val="22"/>
                <w:szCs w:val="22"/>
              </w:rPr>
              <w:t xml:space="preserve">ПР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Финансирования не требуется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0412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8100001060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244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но мере необходимости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303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Обеспечение беспрепятственного проезда пожарной техники к месту пожара  </w:t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отдел 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ЖКХ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ОМКД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Финансирования не требуется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0412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8100001060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244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обеспечение защиты жизни, здоровья граждан и материальных ценностей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Обеспечение связи и оповещения населения о пожаре</w:t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 отдел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ЖКХ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ОМКД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Финансирования не требуется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0412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8100001060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244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обеспечение защиты жизни, здоровья граждан и материальных ценностей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b/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Задача 3 Повышение противопожарной защищенности </w:t>
            </w:r>
            <w:r>
              <w:rPr>
                <w:sz w:val="22"/>
                <w:szCs w:val="22"/>
              </w:rPr>
              <w:t xml:space="preserve">территории Тайшетского городского поселения прилегающей к лесным массивам.</w: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 отдел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ЖКХ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543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shd w:val="clear" w:color="auto" w:fill="ffffff"/>
              <w:rPr>
                <w:color w:val="000000"/>
                <w:sz w:val="22"/>
                <w:szCs w:val="22"/>
              </w:rPr>
              <w:suppressLineNumbers w:val="0"/>
            </w:pPr>
            <w:r>
              <w:rPr>
                <w:color w:val="000000"/>
                <w:sz w:val="22"/>
                <w:szCs w:val="22"/>
              </w:rPr>
              <w:t xml:space="preserve">Работа с собственниками земельных участков, прилегающих к лесу, по очистке и регулярной уборке мусора, сухой травянистой растительности и других горючих материалов.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отдел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ЖКХ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Финансирования не требуется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0412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8100001060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244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Повышение противопожарной защищенности территории ТГП от лесных пожаров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shd w:val="clear" w:color="auto" w:fill="ffffff"/>
              <w:rPr>
                <w:color w:val="000000"/>
                <w:sz w:val="22"/>
                <w:szCs w:val="22"/>
              </w:rPr>
              <w:suppressLineNumbers w:val="0"/>
            </w:pPr>
            <w:r>
              <w:rPr>
                <w:color w:val="000000"/>
                <w:sz w:val="22"/>
                <w:szCs w:val="22"/>
              </w:rPr>
              <w:t xml:space="preserve">Обновление минерализованных полос, шириной не менее 3-х метров по периметру лесных массивов, прилегающих к территории ТГП.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отдел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ЖКХ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бюджет Тайшетского городского поселения</w:t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499,0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0412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8100001060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244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206,</w:t>
            </w: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173,</w:t>
            </w: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120,</w:t>
            </w: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протяженность минерализованной полосы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км</w:t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14,</w:t>
            </w: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14,</w:t>
            </w: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14,</w:t>
            </w: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14,</w:t>
            </w: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53"/>
        </w:trPr>
        <w:tc>
          <w:tcPr>
            <w:tcW w:w="567" w:type="dxa"/>
            <w:vMerge w:val="restart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shd w:val="clear" w:color="auto" w:fill="ffffff"/>
              <w:rPr>
                <w:color w:val="000000"/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  <w:lang w:eastAsia="ru-RU"/>
              </w:rPr>
              <w:t xml:space="preserve">Услуги по предоставлению, управлению и технической эксплуатации специальной техники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отдел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  ЖКХ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бюджет Тайшетского городского поселения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264,0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0412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8100001060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244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264,</w:t>
            </w: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shd w:val="clear" w:color="auto" w:fill="ffffff"/>
              <w:rPr>
                <w:b/>
                <w:color w:val="000000"/>
                <w:sz w:val="22"/>
                <w:szCs w:val="22"/>
              </w:rPr>
              <w:suppressLineNumbers w:val="0"/>
            </w:pPr>
            <w:r>
              <w:rPr>
                <w:color w:val="000000"/>
                <w:sz w:val="22"/>
                <w:szCs w:val="22"/>
              </w:rPr>
              <w:t xml:space="preserve">Задача 4</w:t>
            </w:r>
            <w:r>
              <w:rPr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Совершенство-</w:t>
            </w:r>
            <w:r>
              <w:rPr>
                <w:color w:val="000000"/>
                <w:sz w:val="22"/>
                <w:szCs w:val="22"/>
              </w:rPr>
              <w:t xml:space="preserve">ва</w:t>
            </w:r>
            <w:r>
              <w:rPr>
                <w:sz w:val="22"/>
                <w:szCs w:val="22"/>
              </w:rPr>
              <w:t xml:space="preserve">ние</w:t>
            </w:r>
            <w:r>
              <w:rPr>
                <w:sz w:val="22"/>
                <w:szCs w:val="22"/>
              </w:rPr>
              <w:t xml:space="preserve"> противопожарной пропаганды на территории ТГП. </w:t>
            </w:r>
            <w:r>
              <w:rPr>
                <w:sz w:val="22"/>
                <w:szCs w:val="22"/>
              </w:rPr>
              <w:t xml:space="preserve">Повышение уровня сознательности и ответственности к вопросам противопожарной безопасности жителей ТГП.</w:t>
            </w:r>
            <w:r>
              <w:rPr>
                <w:b/>
                <w:color w:val="000000"/>
                <w:sz w:val="22"/>
                <w:szCs w:val="22"/>
              </w:rPr>
            </w:r>
            <w:r>
              <w:rPr>
                <w:b/>
                <w:color w:val="000000"/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shd w:val="clear" w:color="auto" w:fill="ffffff"/>
              <w:rPr>
                <w:b/>
                <w:color w:val="000000"/>
                <w:sz w:val="22"/>
                <w:szCs w:val="22"/>
              </w:rPr>
              <w:outlineLvl w:val="0"/>
              <w:suppressLineNumbers w:val="0"/>
            </w:pPr>
            <w:r>
              <w:rPr>
                <w:sz w:val="22"/>
                <w:szCs w:val="22"/>
              </w:rPr>
              <w:t xml:space="preserve">Изготовление печатной продукции (памятки, листовки и тому подобное) с основными требованиями норм пожарной безопасности.</w:t>
            </w:r>
            <w:r>
              <w:rPr>
                <w:b/>
                <w:color w:val="000000"/>
                <w:sz w:val="22"/>
                <w:szCs w:val="22"/>
              </w:rPr>
            </w:r>
            <w:r>
              <w:rPr>
                <w:b/>
                <w:color w:val="000000"/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отдел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ЖКХ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бюджет Тайшетского городского поселения</w:t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3,0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0412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8100001060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244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   3,0</w:t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Количество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памяток, листовок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шт.</w:t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2200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1100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1100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244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shd w:val="clear" w:color="auto" w:fill="ffffff"/>
              <w:rPr>
                <w:b/>
                <w:color w:val="000000"/>
                <w:sz w:val="22"/>
                <w:szCs w:val="22"/>
              </w:rPr>
              <w:outlineLvl w:val="0"/>
              <w:suppressLineNumbers w:val="0"/>
            </w:pPr>
            <w:r>
              <w:rPr>
                <w:sz w:val="22"/>
                <w:szCs w:val="22"/>
              </w:rPr>
              <w:t xml:space="preserve">Размещение стендов, растяжек, баннеров с информацией направленной на профилактику чрезвычайных ситуаций на территории ТГП. </w:t>
            </w:r>
            <w:r>
              <w:rPr>
                <w:b/>
                <w:color w:val="000000"/>
                <w:sz w:val="22"/>
                <w:szCs w:val="22"/>
              </w:rPr>
            </w:r>
            <w:r>
              <w:rPr>
                <w:b/>
                <w:color w:val="000000"/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 отдел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ЖКХ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Финансирования не требуется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0412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810000106</w:t>
            </w: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244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Количество стендов, баннеров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шт.</w:t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shd w:val="clear" w:color="auto" w:fill="ffffff"/>
              <w:rPr>
                <w:sz w:val="22"/>
                <w:szCs w:val="22"/>
              </w:rPr>
              <w:outlineLvl w:val="0"/>
              <w:suppressLineNumbers w:val="0"/>
            </w:pPr>
            <w:r>
              <w:rPr>
                <w:sz w:val="22"/>
                <w:szCs w:val="22"/>
              </w:rPr>
              <w:t xml:space="preserve">Проведение </w:t>
            </w:r>
            <w:r>
              <w:rPr>
                <w:spacing w:val="-6"/>
                <w:sz w:val="22"/>
                <w:szCs w:val="22"/>
              </w:rPr>
              <w:t xml:space="preserve">разъяснительной работы о мерах пожарной безопасности в программе  «Город в центре событий» демонстрация тематических сюжетов и роликов на противопожарную тему</w:t>
            </w:r>
            <w:r>
              <w:rPr>
                <w:sz w:val="22"/>
                <w:szCs w:val="22"/>
              </w:rPr>
              <w:t xml:space="preserve">.</w:t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отдел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 ЖКХ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отдел ОРКД.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2024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Финансирования не требуется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0412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8100001060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244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Совершенствование противопожарной пропаганды на территории ТГП</w:t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W w:w="1984" w:type="dxa"/>
            <w:textDirection w:val="lrTb"/>
            <w:noWrap w:val="false"/>
          </w:tcPr>
          <w:p>
            <w:pPr>
              <w:ind w:left="-57" w:right="-57"/>
              <w:jc w:val="center"/>
              <w:shd w:val="clear" w:color="auto" w:fill="ffffff"/>
              <w:rPr>
                <w:sz w:val="22"/>
                <w:szCs w:val="22"/>
              </w:rPr>
              <w:outlineLvl w:val="0"/>
              <w:suppressLineNumbers w:val="0"/>
            </w:pPr>
            <w:r>
              <w:rPr>
                <w:sz w:val="22"/>
                <w:szCs w:val="22"/>
              </w:rPr>
              <w:t xml:space="preserve">Итого по программе</w:t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b/>
                <w:sz w:val="22"/>
                <w:szCs w:val="22"/>
              </w:rPr>
              <w:suppressLineNumbers w:val="0"/>
            </w:pP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2171,7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546,</w:t>
            </w: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</w:p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1162,</w:t>
            </w: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463</w:t>
            </w:r>
            <w:r>
              <w:rPr>
                <w:sz w:val="22"/>
                <w:szCs w:val="22"/>
              </w:rPr>
              <w:t xml:space="preserve">,0</w:t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left="0" w:firstLine="0"/>
        <w:jc w:val="right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»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855"/>
        <w:ind w:left="0" w:firstLine="0"/>
        <w:jc w:val="left"/>
        <w:suppressLineNumbers w:val="0"/>
      </w:pPr>
      <w:r/>
      <w:r/>
    </w:p>
    <w:p>
      <w:pPr>
        <w:pStyle w:val="855"/>
        <w:ind w:left="0" w:firstLine="0"/>
        <w:jc w:val="left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55"/>
        <w:ind w:left="0" w:firstLine="0"/>
        <w:jc w:val="left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55"/>
        <w:ind w:left="0" w:firstLine="0"/>
        <w:jc w:val="left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95"/>
        <w:ind w:left="0" w:firstLine="0"/>
        <w:jc w:val="left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Начальник о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тдела по организационной работе,</w:t>
      </w:r>
      <w:bookmarkStart w:id="0" w:name="_GoBack"/>
      <w:r/>
      <w:bookmarkEnd w:id="0"/>
      <w:r>
        <w:rPr>
          <w:rFonts w:ascii="Times New Roman" w:hAnsi="Times New Roman" w:eastAsia="Times New Roman" w:cs="Times New Roman"/>
          <w:sz w:val="24"/>
          <w:szCs w:val="24"/>
          <w:lang w:val="ru-RU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695"/>
        <w:ind w:left="0" w:firstLine="0"/>
        <w:jc w:val="left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контролю и делопроизводству администрации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695"/>
        <w:ind w:left="0" w:firstLine="0"/>
        <w:jc w:val="left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Тайшетского городского поселения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ab/>
        <w:tab/>
        <w:tab/>
        <w:tab/>
        <w:tab/>
        <w:tab/>
        <w:tab/>
        <w:tab/>
        <w:tab/>
        <w:tab/>
        <w:tab/>
        <w:t xml:space="preserve">В.Д. Бычкова</w:t>
      </w:r>
      <w:r>
        <w:rPr>
          <w:rFonts w:ascii="Times New Roman" w:hAnsi="Times New Roman" w:cs="Times New Roman"/>
          <w:sz w:val="24"/>
          <w:szCs w:val="24"/>
          <w:lang w:val="ru-RU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55"/>
        <w:ind w:left="0" w:firstLine="0"/>
        <w:jc w:val="left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55"/>
        <w:ind w:left="0" w:firstLine="0"/>
        <w:jc w:val="left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55"/>
        <w:ind w:left="0" w:firstLine="0"/>
        <w:jc w:val="left"/>
        <w:rPr>
          <w:sz w:val="24"/>
        </w:rPr>
        <w:suppressLineNumbers w:val="0"/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55"/>
        <w:ind w:left="0" w:firstLine="0"/>
        <w:jc w:val="left"/>
        <w:rPr>
          <w:sz w:val="24"/>
        </w:rPr>
        <w:suppressLineNumbers w:val="0"/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55"/>
        <w:ind w:left="0" w:firstLine="0"/>
        <w:jc w:val="left"/>
        <w:rPr>
          <w:sz w:val="26"/>
        </w:rPr>
        <w:suppressLineNumbers w:val="0"/>
      </w:pPr>
      <w:r>
        <w:rPr>
          <w:sz w:val="26"/>
        </w:rPr>
      </w:r>
      <w:r>
        <w:rPr>
          <w:sz w:val="26"/>
        </w:rPr>
      </w:r>
      <w:r>
        <w:rPr>
          <w:sz w:val="26"/>
        </w:rPr>
      </w:r>
    </w:p>
    <w:p>
      <w:pPr>
        <w:ind w:left="0" w:right="7838" w:firstLine="0"/>
        <w:jc w:val="left"/>
        <w:rPr>
          <w:sz w:val="20"/>
        </w:rPr>
        <w:suppressLineNumbers w:val="0"/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sectPr>
      <w:footnotePr/>
      <w:endnotePr/>
      <w:type w:val="nextPage"/>
      <w:pgSz w:w="16840" w:h="11910" w:orient="landscape"/>
      <w:pgMar w:top="1701" w:right="850" w:bottom="850" w:left="850" w:header="709" w:footer="709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39" w:hanging="484"/>
        <w:jc w:val="left"/>
      </w:pPr>
      <w:rPr>
        <w:rFonts w:hint="default" w:ascii="Times New Roman" w:hAnsi="Times New Roman" w:eastAsia="Times New Roman" w:cs="Times New Roman"/>
        <w:sz w:val="22"/>
        <w:szCs w:val="22"/>
        <w:lang w:val="ru-RU" w:eastAsia="en-US" w:bidi="ar-SA"/>
      </w:rPr>
    </w:lvl>
    <w:lvl w:ilvl="1">
      <w:start w:val="1"/>
      <w:numFmt w:val="decimal"/>
      <w:isLgl w:val="false"/>
      <w:suff w:val="tab"/>
      <w:lvlText w:val="%1.%2"/>
      <w:lvlJc w:val="left"/>
      <w:pPr>
        <w:ind w:left="2678" w:hanging="330"/>
        <w:jc w:val="left"/>
      </w:pPr>
      <w:rPr>
        <w:rFonts w:hint="default" w:ascii="Times New Roman" w:hAnsi="Times New Roman" w:eastAsia="Times New Roman" w:cs="Times New Roman"/>
        <w:sz w:val="22"/>
        <w:szCs w:val="22"/>
        <w:lang w:val="ru-RU" w:eastAsia="en-US" w:bidi="ar-SA"/>
      </w:rPr>
    </w:lvl>
    <w:lvl w:ilvl="2">
      <w:start w:val="1"/>
      <w:numFmt w:val="bullet"/>
      <w:isLgl w:val="false"/>
      <w:suff w:val="tab"/>
      <w:lvlText w:val="•"/>
      <w:lvlJc w:val="left"/>
      <w:pPr>
        <w:ind w:left="3627" w:hanging="330"/>
      </w:pPr>
      <w:rPr>
        <w:rFonts w:hint="default"/>
        <w:lang w:val="ru-RU" w:eastAsia="en-US" w:bidi="ar-SA"/>
      </w:rPr>
    </w:lvl>
    <w:lvl w:ilvl="3">
      <w:start w:val="1"/>
      <w:numFmt w:val="bullet"/>
      <w:isLgl w:val="false"/>
      <w:suff w:val="tab"/>
      <w:lvlText w:val="•"/>
      <w:lvlJc w:val="left"/>
      <w:pPr>
        <w:ind w:left="4577" w:hanging="330"/>
      </w:pPr>
      <w:rPr>
        <w:rFonts w:hint="default"/>
        <w:lang w:val="ru-RU" w:eastAsia="en-US" w:bidi="ar-SA"/>
      </w:rPr>
    </w:lvl>
    <w:lvl w:ilvl="4">
      <w:start w:val="1"/>
      <w:numFmt w:val="bullet"/>
      <w:isLgl w:val="false"/>
      <w:suff w:val="tab"/>
      <w:lvlText w:val="•"/>
      <w:lvlJc w:val="left"/>
      <w:pPr>
        <w:ind w:left="5526" w:hanging="330"/>
      </w:pPr>
      <w:rPr>
        <w:rFonts w:hint="default"/>
        <w:lang w:val="ru-RU" w:eastAsia="en-US" w:bidi="ar-SA"/>
      </w:rPr>
    </w:lvl>
    <w:lvl w:ilvl="5">
      <w:start w:val="1"/>
      <w:numFmt w:val="bullet"/>
      <w:isLgl w:val="false"/>
      <w:suff w:val="tab"/>
      <w:lvlText w:val="•"/>
      <w:lvlJc w:val="left"/>
      <w:pPr>
        <w:ind w:left="6476" w:hanging="330"/>
      </w:pPr>
      <w:rPr>
        <w:rFonts w:hint="default"/>
        <w:lang w:val="ru-RU" w:eastAsia="en-US" w:bidi="ar-SA"/>
      </w:rPr>
    </w:lvl>
    <w:lvl w:ilvl="6">
      <w:start w:val="1"/>
      <w:numFmt w:val="bullet"/>
      <w:isLgl w:val="false"/>
      <w:suff w:val="tab"/>
      <w:lvlText w:val="•"/>
      <w:lvlJc w:val="left"/>
      <w:pPr>
        <w:ind w:left="7425" w:hanging="330"/>
      </w:pPr>
      <w:rPr>
        <w:rFonts w:hint="default"/>
        <w:lang w:val="ru-RU" w:eastAsia="en-US" w:bidi="ar-SA"/>
      </w:rPr>
    </w:lvl>
    <w:lvl w:ilvl="7">
      <w:start w:val="1"/>
      <w:numFmt w:val="bullet"/>
      <w:isLgl w:val="false"/>
      <w:suff w:val="tab"/>
      <w:lvlText w:val="•"/>
      <w:lvlJc w:val="left"/>
      <w:pPr>
        <w:ind w:left="8375" w:hanging="330"/>
      </w:pPr>
      <w:rPr>
        <w:rFonts w:hint="default"/>
        <w:lang w:val="ru-RU" w:eastAsia="en-US" w:bidi="ar-SA"/>
      </w:rPr>
    </w:lvl>
    <w:lvl w:ilvl="8">
      <w:start w:val="1"/>
      <w:numFmt w:val="bullet"/>
      <w:isLgl w:val="false"/>
      <w:suff w:val="tab"/>
      <w:lvlText w:val="•"/>
      <w:lvlJc w:val="left"/>
      <w:pPr>
        <w:ind w:left="9324" w:hanging="33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lTrailSpace w:val="true"/>
    <w:useFELayout w:val="true"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off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6">
    <w:name w:val="Heading 1"/>
    <w:basedOn w:val="674"/>
    <w:next w:val="674"/>
    <w:link w:val="678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57">
    <w:name w:val="Heading 2"/>
    <w:basedOn w:val="674"/>
    <w:next w:val="674"/>
    <w:link w:val="680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58">
    <w:name w:val="Heading 3"/>
    <w:basedOn w:val="674"/>
    <w:next w:val="674"/>
    <w:link w:val="682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59">
    <w:name w:val="Heading 4"/>
    <w:basedOn w:val="674"/>
    <w:next w:val="674"/>
    <w:link w:val="684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60">
    <w:name w:val="Heading 5"/>
    <w:basedOn w:val="674"/>
    <w:next w:val="674"/>
    <w:link w:val="68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61">
    <w:name w:val="Heading 6"/>
    <w:basedOn w:val="674"/>
    <w:next w:val="674"/>
    <w:link w:val="688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62">
    <w:name w:val="Heading 7"/>
    <w:basedOn w:val="674"/>
    <w:next w:val="674"/>
    <w:link w:val="69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63">
    <w:name w:val="Heading 8"/>
    <w:basedOn w:val="674"/>
    <w:next w:val="674"/>
    <w:link w:val="69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64">
    <w:name w:val="Heading 9"/>
    <w:basedOn w:val="674"/>
    <w:next w:val="674"/>
    <w:link w:val="69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65">
    <w:name w:val="Title Char"/>
    <w:basedOn w:val="675"/>
    <w:link w:val="696"/>
    <w:uiPriority w:val="10"/>
    <w:rPr>
      <w:sz w:val="48"/>
      <w:szCs w:val="48"/>
    </w:rPr>
  </w:style>
  <w:style w:type="character" w:styleId="666">
    <w:name w:val="Subtitle Char"/>
    <w:basedOn w:val="675"/>
    <w:link w:val="698"/>
    <w:uiPriority w:val="11"/>
    <w:rPr>
      <w:sz w:val="24"/>
      <w:szCs w:val="24"/>
    </w:rPr>
  </w:style>
  <w:style w:type="character" w:styleId="667">
    <w:name w:val="Quote Char"/>
    <w:link w:val="700"/>
    <w:uiPriority w:val="29"/>
    <w:rPr>
      <w:i/>
    </w:rPr>
  </w:style>
  <w:style w:type="character" w:styleId="668">
    <w:name w:val="Intense Quote Char"/>
    <w:link w:val="702"/>
    <w:uiPriority w:val="30"/>
    <w:rPr>
      <w:i/>
    </w:rPr>
  </w:style>
  <w:style w:type="paragraph" w:styleId="669">
    <w:name w:val="Header"/>
    <w:basedOn w:val="674"/>
    <w:link w:val="70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paragraph" w:styleId="670">
    <w:name w:val="Footer"/>
    <w:basedOn w:val="674"/>
    <w:link w:val="70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paragraph" w:styleId="671">
    <w:name w:val="Caption"/>
    <w:basedOn w:val="674"/>
    <w:next w:val="67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72">
    <w:name w:val="Footnote Text Char"/>
    <w:link w:val="837"/>
    <w:uiPriority w:val="99"/>
    <w:rPr>
      <w:sz w:val="18"/>
    </w:rPr>
  </w:style>
  <w:style w:type="character" w:styleId="673">
    <w:name w:val="Endnote Text Char"/>
    <w:link w:val="840"/>
    <w:uiPriority w:val="99"/>
    <w:rPr>
      <w:sz w:val="20"/>
    </w:rPr>
  </w:style>
  <w:style w:type="paragraph" w:styleId="674" w:default="1">
    <w:name w:val="Normal"/>
    <w:uiPriority w:val="1"/>
    <w:qFormat/>
    <w:rPr>
      <w:rFonts w:ascii="Times New Roman" w:hAnsi="Times New Roman" w:eastAsia="Times New Roman" w:cs="Times New Roman"/>
      <w:lang w:val="ru-RU"/>
    </w:rPr>
  </w:style>
  <w:style w:type="character" w:styleId="675" w:default="1">
    <w:name w:val="Default Paragraph Font"/>
    <w:uiPriority w:val="1"/>
    <w:semiHidden/>
    <w:unhideWhenUsed/>
  </w:style>
  <w:style w:type="table" w:styleId="67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77" w:default="1">
    <w:name w:val="No List"/>
    <w:uiPriority w:val="99"/>
    <w:semiHidden/>
    <w:unhideWhenUsed/>
  </w:style>
  <w:style w:type="character" w:styleId="678" w:customStyle="1">
    <w:name w:val="Heading 1 Char"/>
    <w:basedOn w:val="675"/>
    <w:link w:val="856"/>
    <w:uiPriority w:val="9"/>
    <w:rPr>
      <w:rFonts w:ascii="Arial" w:hAnsi="Arial" w:eastAsia="Arial" w:cs="Arial"/>
      <w:sz w:val="40"/>
      <w:szCs w:val="40"/>
    </w:rPr>
  </w:style>
  <w:style w:type="paragraph" w:styleId="679" w:customStyle="1">
    <w:name w:val="Заголовок 21"/>
    <w:basedOn w:val="674"/>
    <w:next w:val="674"/>
    <w:link w:val="680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80" w:customStyle="1">
    <w:name w:val="Heading 2 Char"/>
    <w:basedOn w:val="675"/>
    <w:link w:val="679"/>
    <w:uiPriority w:val="9"/>
    <w:rPr>
      <w:rFonts w:ascii="Arial" w:hAnsi="Arial" w:eastAsia="Arial" w:cs="Arial"/>
      <w:sz w:val="34"/>
    </w:rPr>
  </w:style>
  <w:style w:type="paragraph" w:styleId="681" w:customStyle="1">
    <w:name w:val="Заголовок 31"/>
    <w:basedOn w:val="674"/>
    <w:next w:val="674"/>
    <w:link w:val="682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82" w:customStyle="1">
    <w:name w:val="Heading 3 Char"/>
    <w:basedOn w:val="675"/>
    <w:link w:val="681"/>
    <w:uiPriority w:val="9"/>
    <w:rPr>
      <w:rFonts w:ascii="Arial" w:hAnsi="Arial" w:eastAsia="Arial" w:cs="Arial"/>
      <w:sz w:val="30"/>
      <w:szCs w:val="30"/>
    </w:rPr>
  </w:style>
  <w:style w:type="paragraph" w:styleId="683" w:customStyle="1">
    <w:name w:val="Заголовок 41"/>
    <w:basedOn w:val="674"/>
    <w:next w:val="674"/>
    <w:link w:val="684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4" w:customStyle="1">
    <w:name w:val="Heading 4 Char"/>
    <w:basedOn w:val="675"/>
    <w:link w:val="683"/>
    <w:uiPriority w:val="9"/>
    <w:rPr>
      <w:rFonts w:ascii="Arial" w:hAnsi="Arial" w:eastAsia="Arial" w:cs="Arial"/>
      <w:b/>
      <w:bCs/>
      <w:sz w:val="26"/>
      <w:szCs w:val="26"/>
    </w:rPr>
  </w:style>
  <w:style w:type="paragraph" w:styleId="685" w:customStyle="1">
    <w:name w:val="Заголовок 51"/>
    <w:basedOn w:val="674"/>
    <w:next w:val="674"/>
    <w:link w:val="68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6" w:customStyle="1">
    <w:name w:val="Heading 5 Char"/>
    <w:basedOn w:val="675"/>
    <w:link w:val="685"/>
    <w:uiPriority w:val="9"/>
    <w:rPr>
      <w:rFonts w:ascii="Arial" w:hAnsi="Arial" w:eastAsia="Arial" w:cs="Arial"/>
      <w:b/>
      <w:bCs/>
      <w:sz w:val="24"/>
      <w:szCs w:val="24"/>
    </w:rPr>
  </w:style>
  <w:style w:type="paragraph" w:styleId="687" w:customStyle="1">
    <w:name w:val="Заголовок 61"/>
    <w:basedOn w:val="674"/>
    <w:next w:val="674"/>
    <w:link w:val="688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</w:rPr>
  </w:style>
  <w:style w:type="character" w:styleId="688" w:customStyle="1">
    <w:name w:val="Heading 6 Char"/>
    <w:basedOn w:val="675"/>
    <w:link w:val="687"/>
    <w:uiPriority w:val="9"/>
    <w:rPr>
      <w:rFonts w:ascii="Arial" w:hAnsi="Arial" w:eastAsia="Arial" w:cs="Arial"/>
      <w:b/>
      <w:bCs/>
      <w:sz w:val="22"/>
      <w:szCs w:val="22"/>
    </w:rPr>
  </w:style>
  <w:style w:type="paragraph" w:styleId="689" w:customStyle="1">
    <w:name w:val="Заголовок 71"/>
    <w:basedOn w:val="674"/>
    <w:next w:val="674"/>
    <w:link w:val="69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</w:rPr>
  </w:style>
  <w:style w:type="character" w:styleId="690" w:customStyle="1">
    <w:name w:val="Heading 7 Char"/>
    <w:basedOn w:val="675"/>
    <w:link w:val="68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1" w:customStyle="1">
    <w:name w:val="Заголовок 81"/>
    <w:basedOn w:val="674"/>
    <w:next w:val="674"/>
    <w:link w:val="69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</w:rPr>
  </w:style>
  <w:style w:type="character" w:styleId="692" w:customStyle="1">
    <w:name w:val="Heading 8 Char"/>
    <w:basedOn w:val="675"/>
    <w:link w:val="691"/>
    <w:uiPriority w:val="9"/>
    <w:rPr>
      <w:rFonts w:ascii="Arial" w:hAnsi="Arial" w:eastAsia="Arial" w:cs="Arial"/>
      <w:i/>
      <w:iCs/>
      <w:sz w:val="22"/>
      <w:szCs w:val="22"/>
    </w:rPr>
  </w:style>
  <w:style w:type="paragraph" w:styleId="693" w:customStyle="1">
    <w:name w:val="Заголовок 91"/>
    <w:basedOn w:val="674"/>
    <w:next w:val="674"/>
    <w:link w:val="69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4" w:customStyle="1">
    <w:name w:val="Heading 9 Char"/>
    <w:basedOn w:val="675"/>
    <w:link w:val="693"/>
    <w:uiPriority w:val="9"/>
    <w:rPr>
      <w:rFonts w:ascii="Arial" w:hAnsi="Arial" w:eastAsia="Arial" w:cs="Arial"/>
      <w:i/>
      <w:iCs/>
      <w:sz w:val="21"/>
      <w:szCs w:val="21"/>
    </w:rPr>
  </w:style>
  <w:style w:type="paragraph" w:styleId="695">
    <w:name w:val="No Spacing"/>
    <w:uiPriority w:val="1"/>
    <w:qFormat/>
  </w:style>
  <w:style w:type="paragraph" w:styleId="696">
    <w:name w:val="Title"/>
    <w:basedOn w:val="674"/>
    <w:next w:val="674"/>
    <w:link w:val="69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7" w:customStyle="1">
    <w:name w:val="Название Знак"/>
    <w:basedOn w:val="675"/>
    <w:link w:val="696"/>
    <w:uiPriority w:val="10"/>
    <w:rPr>
      <w:sz w:val="48"/>
      <w:szCs w:val="48"/>
    </w:rPr>
  </w:style>
  <w:style w:type="paragraph" w:styleId="698">
    <w:name w:val="Subtitle"/>
    <w:basedOn w:val="674"/>
    <w:next w:val="674"/>
    <w:link w:val="699"/>
    <w:uiPriority w:val="11"/>
    <w:qFormat/>
    <w:pPr>
      <w:spacing w:before="200" w:after="200"/>
    </w:pPr>
    <w:rPr>
      <w:sz w:val="24"/>
      <w:szCs w:val="24"/>
    </w:rPr>
  </w:style>
  <w:style w:type="character" w:styleId="699" w:customStyle="1">
    <w:name w:val="Подзаголовок Знак"/>
    <w:basedOn w:val="675"/>
    <w:link w:val="698"/>
    <w:uiPriority w:val="11"/>
    <w:rPr>
      <w:sz w:val="24"/>
      <w:szCs w:val="24"/>
    </w:rPr>
  </w:style>
  <w:style w:type="paragraph" w:styleId="700">
    <w:name w:val="Quote"/>
    <w:basedOn w:val="674"/>
    <w:next w:val="674"/>
    <w:link w:val="701"/>
    <w:uiPriority w:val="29"/>
    <w:qFormat/>
    <w:pPr>
      <w:ind w:left="720" w:right="720"/>
    </w:pPr>
    <w:rPr>
      <w:i/>
    </w:rPr>
  </w:style>
  <w:style w:type="character" w:styleId="701" w:customStyle="1">
    <w:name w:val="Цитата 2 Знак"/>
    <w:link w:val="700"/>
    <w:uiPriority w:val="29"/>
    <w:rPr>
      <w:i/>
    </w:rPr>
  </w:style>
  <w:style w:type="paragraph" w:styleId="702">
    <w:name w:val="Intense Quote"/>
    <w:basedOn w:val="674"/>
    <w:next w:val="674"/>
    <w:link w:val="703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3" w:customStyle="1">
    <w:name w:val="Выделенная цитата Знак"/>
    <w:link w:val="702"/>
    <w:uiPriority w:val="30"/>
    <w:rPr>
      <w:i/>
    </w:rPr>
  </w:style>
  <w:style w:type="paragraph" w:styleId="704" w:customStyle="1">
    <w:name w:val="Верхний колонтитул1"/>
    <w:basedOn w:val="674"/>
    <w:link w:val="705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05" w:customStyle="1">
    <w:name w:val="Header Char"/>
    <w:basedOn w:val="675"/>
    <w:link w:val="704"/>
    <w:uiPriority w:val="99"/>
  </w:style>
  <w:style w:type="paragraph" w:styleId="706" w:customStyle="1">
    <w:name w:val="Нижний колонтитул1"/>
    <w:basedOn w:val="674"/>
    <w:link w:val="709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07" w:customStyle="1">
    <w:name w:val="Footer Char"/>
    <w:basedOn w:val="675"/>
    <w:uiPriority w:val="99"/>
  </w:style>
  <w:style w:type="paragraph" w:styleId="708" w:customStyle="1">
    <w:name w:val="Название объекта1"/>
    <w:basedOn w:val="674"/>
    <w:next w:val="67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09" w:customStyle="1">
    <w:name w:val="Caption Char"/>
    <w:link w:val="706"/>
    <w:uiPriority w:val="99"/>
  </w:style>
  <w:style w:type="table" w:styleId="710">
    <w:name w:val="Table Grid"/>
    <w:basedOn w:val="676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711" w:customStyle="1">
    <w:name w:val="Table Grid Light"/>
    <w:basedOn w:val="676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2" w:customStyle="1">
    <w:name w:val="Plain Table 1"/>
    <w:basedOn w:val="676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 w:customStyle="1">
    <w:name w:val="Plain Table 2"/>
    <w:basedOn w:val="676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4" w:customStyle="1">
    <w:name w:val="Plain Table 3"/>
    <w:basedOn w:val="676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5" w:customStyle="1">
    <w:name w:val="Plain Table 4"/>
    <w:basedOn w:val="676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 w:customStyle="1">
    <w:name w:val="Plain Table 5"/>
    <w:basedOn w:val="676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7" w:customStyle="1">
    <w:name w:val="Grid Table 1 Light"/>
    <w:basedOn w:val="676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 w:customStyle="1">
    <w:name w:val="Grid Table 1 Light - Accent 1"/>
    <w:basedOn w:val="676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 w:customStyle="1">
    <w:name w:val="Grid Table 1 Light - Accent 2"/>
    <w:basedOn w:val="676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3"/>
    <w:basedOn w:val="676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4"/>
    <w:basedOn w:val="676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5"/>
    <w:basedOn w:val="676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 w:customStyle="1">
    <w:name w:val="Grid Table 1 Light - Accent 6"/>
    <w:basedOn w:val="676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 w:customStyle="1">
    <w:name w:val="Grid Table 2"/>
    <w:basedOn w:val="676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Grid Table 2 - Accent 1"/>
    <w:basedOn w:val="676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2 - Accent 2"/>
    <w:basedOn w:val="676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3"/>
    <w:basedOn w:val="676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4"/>
    <w:basedOn w:val="676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5"/>
    <w:basedOn w:val="676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 w:customStyle="1">
    <w:name w:val="Grid Table 2 - Accent 6"/>
    <w:basedOn w:val="676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 w:customStyle="1">
    <w:name w:val="Grid Table 3"/>
    <w:basedOn w:val="676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3 - Accent 1"/>
    <w:basedOn w:val="676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3 - Accent 2"/>
    <w:basedOn w:val="676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3"/>
    <w:basedOn w:val="676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4"/>
    <w:basedOn w:val="676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5"/>
    <w:basedOn w:val="676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 w:customStyle="1">
    <w:name w:val="Grid Table 3 - Accent 6"/>
    <w:basedOn w:val="676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 w:customStyle="1">
    <w:name w:val="Grid Table 4"/>
    <w:basedOn w:val="676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9" w:customStyle="1">
    <w:name w:val="Grid Table 4 - Accent 1"/>
    <w:basedOn w:val="676"/>
    <w:uiPriority w:val="5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40" w:customStyle="1">
    <w:name w:val="Grid Table 4 - Accent 2"/>
    <w:basedOn w:val="676"/>
    <w:uiPriority w:val="5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41" w:customStyle="1">
    <w:name w:val="Grid Table 4 - Accent 3"/>
    <w:basedOn w:val="676"/>
    <w:uiPriority w:val="5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42" w:customStyle="1">
    <w:name w:val="Grid Table 4 - Accent 4"/>
    <w:basedOn w:val="676"/>
    <w:uiPriority w:val="5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43" w:customStyle="1">
    <w:name w:val="Grid Table 4 - Accent 5"/>
    <w:basedOn w:val="676"/>
    <w:uiPriority w:val="5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44" w:customStyle="1">
    <w:name w:val="Grid Table 4 - Accent 6"/>
    <w:basedOn w:val="676"/>
    <w:uiPriority w:val="5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45" w:customStyle="1">
    <w:name w:val="Grid Table 5 Dark"/>
    <w:basedOn w:val="676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6" w:customStyle="1">
    <w:name w:val="Grid Table 5 Dark- Accent 1"/>
    <w:basedOn w:val="676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47" w:customStyle="1">
    <w:name w:val="Grid Table 5 Dark - Accent 2"/>
    <w:basedOn w:val="676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 - Accent 3"/>
    <w:basedOn w:val="676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- Accent 4"/>
    <w:basedOn w:val="676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5"/>
    <w:basedOn w:val="676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51" w:customStyle="1">
    <w:name w:val="Grid Table 5 Dark - Accent 6"/>
    <w:basedOn w:val="676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52" w:customStyle="1">
    <w:name w:val="Grid Table 6 Colorful"/>
    <w:basedOn w:val="676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3" w:customStyle="1">
    <w:name w:val="Grid Table 6 Colorful - Accent 1"/>
    <w:basedOn w:val="676"/>
    <w:uiPriority w:val="99"/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54" w:customStyle="1">
    <w:name w:val="Grid Table 6 Colorful - Accent 2"/>
    <w:basedOn w:val="676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55" w:customStyle="1">
    <w:name w:val="Grid Table 6 Colorful - Accent 3"/>
    <w:basedOn w:val="676"/>
    <w:uiPriority w:val="99"/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56" w:customStyle="1">
    <w:name w:val="Grid Table 6 Colorful - Accent 4"/>
    <w:basedOn w:val="676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57" w:customStyle="1">
    <w:name w:val="Grid Table 6 Colorful - Accent 5"/>
    <w:basedOn w:val="676"/>
    <w:uiPriority w:val="99"/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8" w:customStyle="1">
    <w:name w:val="Grid Table 6 Colorful - Accent 6"/>
    <w:basedOn w:val="676"/>
    <w:uiPriority w:val="99"/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9" w:customStyle="1">
    <w:name w:val="Grid Table 7 Colorful"/>
    <w:basedOn w:val="676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7 Colorful - Accent 1"/>
    <w:basedOn w:val="676"/>
    <w:uiPriority w:val="99"/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7 Colorful - Accent 2"/>
    <w:basedOn w:val="676"/>
    <w:uiPriority w:val="99"/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7 Colorful - Accent 3"/>
    <w:basedOn w:val="676"/>
    <w:uiPriority w:val="99"/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7 Colorful - Accent 4"/>
    <w:basedOn w:val="676"/>
    <w:uiPriority w:val="99"/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7 Colorful - Accent 5"/>
    <w:basedOn w:val="676"/>
    <w:uiPriority w:val="99"/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 w:customStyle="1">
    <w:name w:val="Grid Table 7 Colorful - Accent 6"/>
    <w:basedOn w:val="676"/>
    <w:uiPriority w:val="99"/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 w:customStyle="1">
    <w:name w:val="List Table 1 Light"/>
    <w:basedOn w:val="676"/>
    <w:uiPriority w:val="99"/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List Table 1 Light - Accent 1"/>
    <w:basedOn w:val="676"/>
    <w:uiPriority w:val="99"/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List Table 1 Light - Accent 2"/>
    <w:basedOn w:val="676"/>
    <w:uiPriority w:val="99"/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3"/>
    <w:basedOn w:val="676"/>
    <w:uiPriority w:val="99"/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4"/>
    <w:basedOn w:val="676"/>
    <w:uiPriority w:val="99"/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5"/>
    <w:basedOn w:val="676"/>
    <w:uiPriority w:val="99"/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List Table 1 Light - Accent 6"/>
    <w:basedOn w:val="676"/>
    <w:uiPriority w:val="99"/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 w:customStyle="1">
    <w:name w:val="List Table 2"/>
    <w:basedOn w:val="676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4" w:customStyle="1">
    <w:name w:val="List Table 2 - Accent 1"/>
    <w:basedOn w:val="676"/>
    <w:uiPriority w:val="99"/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75" w:customStyle="1">
    <w:name w:val="List Table 2 - Accent 2"/>
    <w:basedOn w:val="676"/>
    <w:uiPriority w:val="99"/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3"/>
    <w:basedOn w:val="676"/>
    <w:uiPriority w:val="99"/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4"/>
    <w:basedOn w:val="676"/>
    <w:uiPriority w:val="99"/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5"/>
    <w:basedOn w:val="676"/>
    <w:uiPriority w:val="99"/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79" w:customStyle="1">
    <w:name w:val="List Table 2 - Accent 6"/>
    <w:basedOn w:val="676"/>
    <w:uiPriority w:val="99"/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80" w:customStyle="1">
    <w:name w:val="List Table 3"/>
    <w:basedOn w:val="676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List Table 3 - Accent 1"/>
    <w:basedOn w:val="676"/>
    <w:uiPriority w:val="99"/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3 - Accent 2"/>
    <w:basedOn w:val="676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3"/>
    <w:basedOn w:val="676"/>
    <w:uiPriority w:val="99"/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4"/>
    <w:basedOn w:val="676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5"/>
    <w:basedOn w:val="676"/>
    <w:uiPriority w:val="99"/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 w:customStyle="1">
    <w:name w:val="List Table 3 - Accent 6"/>
    <w:basedOn w:val="676"/>
    <w:uiPriority w:val="99"/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List Table 4"/>
    <w:basedOn w:val="676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4 - Accent 1"/>
    <w:basedOn w:val="676"/>
    <w:uiPriority w:val="9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4 - Accent 2"/>
    <w:basedOn w:val="676"/>
    <w:uiPriority w:val="9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3"/>
    <w:basedOn w:val="676"/>
    <w:uiPriority w:val="9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4"/>
    <w:basedOn w:val="676"/>
    <w:uiPriority w:val="9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5"/>
    <w:basedOn w:val="676"/>
    <w:uiPriority w:val="9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 w:customStyle="1">
    <w:name w:val="List Table 4 - Accent 6"/>
    <w:basedOn w:val="676"/>
    <w:uiPriority w:val="9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 w:customStyle="1">
    <w:name w:val="List Table 5 Dark"/>
    <w:basedOn w:val="676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5" w:customStyle="1">
    <w:name w:val="List Table 5 Dark - Accent 1"/>
    <w:basedOn w:val="676"/>
    <w:uiPriority w:val="99"/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6" w:customStyle="1">
    <w:name w:val="List Table 5 Dark - Accent 2"/>
    <w:basedOn w:val="676"/>
    <w:uiPriority w:val="99"/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3"/>
    <w:basedOn w:val="676"/>
    <w:uiPriority w:val="99"/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4"/>
    <w:basedOn w:val="676"/>
    <w:uiPriority w:val="99"/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5"/>
    <w:basedOn w:val="676"/>
    <w:uiPriority w:val="99"/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 w:customStyle="1">
    <w:name w:val="List Table 5 Dark - Accent 6"/>
    <w:basedOn w:val="676"/>
    <w:uiPriority w:val="99"/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1" w:customStyle="1">
    <w:name w:val="List Table 6 Colorful"/>
    <w:basedOn w:val="676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2" w:customStyle="1">
    <w:name w:val="List Table 6 Colorful - Accent 1"/>
    <w:basedOn w:val="676"/>
    <w:uiPriority w:val="99"/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03" w:customStyle="1">
    <w:name w:val="List Table 6 Colorful - Accent 2"/>
    <w:basedOn w:val="676"/>
    <w:uiPriority w:val="99"/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04" w:customStyle="1">
    <w:name w:val="List Table 6 Colorful - Accent 3"/>
    <w:basedOn w:val="676"/>
    <w:uiPriority w:val="99"/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05" w:customStyle="1">
    <w:name w:val="List Table 6 Colorful - Accent 4"/>
    <w:basedOn w:val="676"/>
    <w:uiPriority w:val="99"/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06" w:customStyle="1">
    <w:name w:val="List Table 6 Colorful - Accent 5"/>
    <w:basedOn w:val="676"/>
    <w:uiPriority w:val="99"/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07" w:customStyle="1">
    <w:name w:val="List Table 6 Colorful - Accent 6"/>
    <w:basedOn w:val="676"/>
    <w:uiPriority w:val="99"/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08" w:customStyle="1">
    <w:name w:val="List Table 7 Colorful"/>
    <w:basedOn w:val="676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7 Colorful - Accent 1"/>
    <w:basedOn w:val="676"/>
    <w:uiPriority w:val="99"/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7 Colorful - Accent 2"/>
    <w:basedOn w:val="676"/>
    <w:uiPriority w:val="99"/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7 Colorful - Accent 3"/>
    <w:basedOn w:val="676"/>
    <w:uiPriority w:val="99"/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7 Colorful - Accent 4"/>
    <w:basedOn w:val="676"/>
    <w:uiPriority w:val="99"/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7 Colorful - Accent 5"/>
    <w:basedOn w:val="676"/>
    <w:uiPriority w:val="99"/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st Table 7 Colorful - Accent 6"/>
    <w:basedOn w:val="676"/>
    <w:uiPriority w:val="99"/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 w:customStyle="1">
    <w:name w:val="Lined - Accent"/>
    <w:basedOn w:val="676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6" w:customStyle="1">
    <w:name w:val="Lined - Accent 1"/>
    <w:basedOn w:val="676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17" w:customStyle="1">
    <w:name w:val="Lined - Accent 2"/>
    <w:basedOn w:val="676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18" w:customStyle="1">
    <w:name w:val="Lined - Accent 3"/>
    <w:basedOn w:val="676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19" w:customStyle="1">
    <w:name w:val="Lined - Accent 4"/>
    <w:basedOn w:val="676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0" w:customStyle="1">
    <w:name w:val="Lined - Accent 5"/>
    <w:basedOn w:val="676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1" w:customStyle="1">
    <w:name w:val="Lined - Accent 6"/>
    <w:basedOn w:val="676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2" w:customStyle="1">
    <w:name w:val="Bordered &amp; Lined - Accent"/>
    <w:basedOn w:val="676"/>
    <w:uiPriority w:val="99"/>
    <w:rPr>
      <w:color w:val="404040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3" w:customStyle="1">
    <w:name w:val="Bordered &amp; Lined - Accent 1"/>
    <w:basedOn w:val="676"/>
    <w:uiPriority w:val="99"/>
    <w:rPr>
      <w:color w:val="404040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24" w:customStyle="1">
    <w:name w:val="Bordered &amp; Lined - Accent 2"/>
    <w:basedOn w:val="676"/>
    <w:uiPriority w:val="99"/>
    <w:rPr>
      <w:color w:val="404040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25" w:customStyle="1">
    <w:name w:val="Bordered &amp; Lined - Accent 3"/>
    <w:basedOn w:val="676"/>
    <w:uiPriority w:val="99"/>
    <w:rPr>
      <w:color w:val="404040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26" w:customStyle="1">
    <w:name w:val="Bordered &amp; Lined - Accent 4"/>
    <w:basedOn w:val="676"/>
    <w:uiPriority w:val="99"/>
    <w:rPr>
      <w:color w:val="404040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7" w:customStyle="1">
    <w:name w:val="Bordered &amp; Lined - Accent 5"/>
    <w:basedOn w:val="676"/>
    <w:uiPriority w:val="99"/>
    <w:rPr>
      <w:color w:val="404040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8" w:customStyle="1">
    <w:name w:val="Bordered &amp; Lined - Accent 6"/>
    <w:basedOn w:val="676"/>
    <w:uiPriority w:val="99"/>
    <w:rPr>
      <w:color w:val="404040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9" w:customStyle="1">
    <w:name w:val="Bordered"/>
    <w:basedOn w:val="676"/>
    <w:uiPriority w:val="99"/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30" w:customStyle="1">
    <w:name w:val="Bordered - Accent 1"/>
    <w:basedOn w:val="676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31" w:customStyle="1">
    <w:name w:val="Bordered - Accent 2"/>
    <w:basedOn w:val="676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32" w:customStyle="1">
    <w:name w:val="Bordered - Accent 3"/>
    <w:basedOn w:val="676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33" w:customStyle="1">
    <w:name w:val="Bordered - Accent 4"/>
    <w:basedOn w:val="676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34" w:customStyle="1">
    <w:name w:val="Bordered - Accent 5"/>
    <w:basedOn w:val="676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35" w:customStyle="1">
    <w:name w:val="Bordered - Accent 6"/>
    <w:basedOn w:val="676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836">
    <w:name w:val="Hyperlink"/>
    <w:uiPriority w:val="99"/>
    <w:unhideWhenUsed/>
    <w:rPr>
      <w:color w:val="0000ff" w:themeColor="hyperlink"/>
      <w:u w:val="single"/>
    </w:rPr>
  </w:style>
  <w:style w:type="paragraph" w:styleId="837">
    <w:name w:val="footnote text"/>
    <w:basedOn w:val="674"/>
    <w:link w:val="838"/>
    <w:uiPriority w:val="99"/>
    <w:semiHidden/>
    <w:unhideWhenUsed/>
    <w:pPr>
      <w:spacing w:after="40"/>
    </w:pPr>
    <w:rPr>
      <w:sz w:val="18"/>
    </w:rPr>
  </w:style>
  <w:style w:type="character" w:styleId="838" w:customStyle="1">
    <w:name w:val="Текст сноски Знак"/>
    <w:link w:val="837"/>
    <w:uiPriority w:val="99"/>
    <w:rPr>
      <w:sz w:val="18"/>
    </w:rPr>
  </w:style>
  <w:style w:type="character" w:styleId="839">
    <w:name w:val="footnote reference"/>
    <w:basedOn w:val="675"/>
    <w:uiPriority w:val="99"/>
    <w:unhideWhenUsed/>
    <w:rPr>
      <w:vertAlign w:val="superscript"/>
    </w:rPr>
  </w:style>
  <w:style w:type="paragraph" w:styleId="840">
    <w:name w:val="endnote text"/>
    <w:basedOn w:val="674"/>
    <w:link w:val="841"/>
    <w:uiPriority w:val="99"/>
    <w:semiHidden/>
    <w:unhideWhenUsed/>
    <w:rPr>
      <w:sz w:val="20"/>
    </w:rPr>
  </w:style>
  <w:style w:type="character" w:styleId="841" w:customStyle="1">
    <w:name w:val="Текст концевой сноски Знак"/>
    <w:link w:val="840"/>
    <w:uiPriority w:val="99"/>
    <w:rPr>
      <w:sz w:val="20"/>
    </w:rPr>
  </w:style>
  <w:style w:type="character" w:styleId="842">
    <w:name w:val="endnote reference"/>
    <w:basedOn w:val="675"/>
    <w:uiPriority w:val="99"/>
    <w:semiHidden/>
    <w:unhideWhenUsed/>
    <w:rPr>
      <w:vertAlign w:val="superscript"/>
    </w:rPr>
  </w:style>
  <w:style w:type="paragraph" w:styleId="843">
    <w:name w:val="toc 1"/>
    <w:basedOn w:val="674"/>
    <w:next w:val="674"/>
    <w:uiPriority w:val="39"/>
    <w:unhideWhenUsed/>
    <w:pPr>
      <w:spacing w:after="57"/>
    </w:pPr>
  </w:style>
  <w:style w:type="paragraph" w:styleId="844">
    <w:name w:val="toc 2"/>
    <w:basedOn w:val="674"/>
    <w:next w:val="674"/>
    <w:uiPriority w:val="39"/>
    <w:unhideWhenUsed/>
    <w:pPr>
      <w:ind w:left="283"/>
      <w:spacing w:after="57"/>
    </w:pPr>
  </w:style>
  <w:style w:type="paragraph" w:styleId="845">
    <w:name w:val="toc 3"/>
    <w:basedOn w:val="674"/>
    <w:next w:val="674"/>
    <w:uiPriority w:val="39"/>
    <w:unhideWhenUsed/>
    <w:pPr>
      <w:ind w:left="567"/>
      <w:spacing w:after="57"/>
    </w:pPr>
  </w:style>
  <w:style w:type="paragraph" w:styleId="846">
    <w:name w:val="toc 4"/>
    <w:basedOn w:val="674"/>
    <w:next w:val="674"/>
    <w:uiPriority w:val="39"/>
    <w:unhideWhenUsed/>
    <w:pPr>
      <w:ind w:left="850"/>
      <w:spacing w:after="57"/>
    </w:pPr>
  </w:style>
  <w:style w:type="paragraph" w:styleId="847">
    <w:name w:val="toc 5"/>
    <w:basedOn w:val="674"/>
    <w:next w:val="674"/>
    <w:uiPriority w:val="39"/>
    <w:unhideWhenUsed/>
    <w:pPr>
      <w:ind w:left="1134"/>
      <w:spacing w:after="57"/>
    </w:pPr>
  </w:style>
  <w:style w:type="paragraph" w:styleId="848">
    <w:name w:val="toc 6"/>
    <w:basedOn w:val="674"/>
    <w:next w:val="674"/>
    <w:uiPriority w:val="39"/>
    <w:unhideWhenUsed/>
    <w:pPr>
      <w:ind w:left="1417"/>
      <w:spacing w:after="57"/>
    </w:pPr>
  </w:style>
  <w:style w:type="paragraph" w:styleId="849">
    <w:name w:val="toc 7"/>
    <w:basedOn w:val="674"/>
    <w:next w:val="674"/>
    <w:uiPriority w:val="39"/>
    <w:unhideWhenUsed/>
    <w:pPr>
      <w:ind w:left="1701"/>
      <w:spacing w:after="57"/>
    </w:pPr>
  </w:style>
  <w:style w:type="paragraph" w:styleId="850">
    <w:name w:val="toc 8"/>
    <w:basedOn w:val="674"/>
    <w:next w:val="674"/>
    <w:uiPriority w:val="39"/>
    <w:unhideWhenUsed/>
    <w:pPr>
      <w:ind w:left="1984"/>
      <w:spacing w:after="57"/>
    </w:pPr>
  </w:style>
  <w:style w:type="paragraph" w:styleId="851">
    <w:name w:val="toc 9"/>
    <w:basedOn w:val="674"/>
    <w:next w:val="674"/>
    <w:uiPriority w:val="39"/>
    <w:unhideWhenUsed/>
    <w:pPr>
      <w:ind w:left="2268"/>
      <w:spacing w:after="57"/>
    </w:pPr>
  </w:style>
  <w:style w:type="paragraph" w:styleId="852">
    <w:name w:val="TOC Heading"/>
    <w:uiPriority w:val="39"/>
    <w:unhideWhenUsed/>
  </w:style>
  <w:style w:type="paragraph" w:styleId="853">
    <w:name w:val="table of figures"/>
    <w:basedOn w:val="674"/>
    <w:next w:val="674"/>
    <w:uiPriority w:val="99"/>
    <w:unhideWhenUsed/>
  </w:style>
  <w:style w:type="table" w:styleId="854" w:customStyle="1">
    <w:name w:val="Table Normal"/>
    <w:uiPriority w:val="2"/>
    <w:semiHidden/>
    <w:unhideWhenUsed/>
    <w:qFormat/>
    <w:tblPr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paragraph" w:styleId="855">
    <w:name w:val="Body Text"/>
    <w:basedOn w:val="674"/>
    <w:uiPriority w:val="1"/>
    <w:qFormat/>
  </w:style>
  <w:style w:type="paragraph" w:styleId="856" w:customStyle="1">
    <w:name w:val="Заголовок 11"/>
    <w:basedOn w:val="674"/>
    <w:link w:val="678"/>
    <w:uiPriority w:val="1"/>
    <w:qFormat/>
    <w:pPr>
      <w:ind w:left="221"/>
      <w:jc w:val="center"/>
      <w:outlineLvl w:val="1"/>
    </w:pPr>
    <w:rPr>
      <w:b/>
      <w:bCs/>
    </w:rPr>
  </w:style>
  <w:style w:type="paragraph" w:styleId="857">
    <w:name w:val="List Paragraph"/>
    <w:basedOn w:val="674"/>
    <w:uiPriority w:val="1"/>
    <w:qFormat/>
    <w:pPr>
      <w:ind w:left="221" w:right="228" w:firstLine="709"/>
    </w:pPr>
  </w:style>
  <w:style w:type="paragraph" w:styleId="858" w:customStyle="1">
    <w:name w:val="Table Paragraph"/>
    <w:basedOn w:val="674"/>
    <w:uiPriority w:val="1"/>
    <w:qFormat/>
  </w:style>
  <w:style w:type="paragraph" w:styleId="859" w:customStyle="1">
    <w:name w:val="ConsPlusNormal"/>
    <w:pPr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Times New Roman" w:hAnsi="Times New Roman" w:cs="Times New Roman" w:eastAsiaTheme="minorEastAsia"/>
      <w:sz w:val="24"/>
      <w:szCs w:val="24"/>
      <w:lang w:val="ru-RU"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yperlink" Target="consultantplus://offline/ref%3D8470EE90C9EE1BD81D3A18F36919FC7428D88E1EC1C849B173078E7BDCi8Z0H" TargetMode="External"/><Relationship Id="rId10" Type="http://schemas.openxmlformats.org/officeDocument/2006/relationships/hyperlink" Target="consultantplus://offline/ref%3D8470EE90C9EE1BD81D3A18F36919FC7428D88E1EC1CC49B173078E7BDCi8Z0H" TargetMode="External"/><Relationship Id="rId11" Type="http://schemas.openxmlformats.org/officeDocument/2006/relationships/hyperlink" Target="consultantplus://offline/ref%3D8470EE90C9EE1BD81D3A18F36919FC7428D88E17C1CD49B173078E7BDC803D245464FBA93A460A05i4Z3H" TargetMode="External"/><Relationship Id="rId12" Type="http://schemas.openxmlformats.org/officeDocument/2006/relationships/hyperlink" Target="consultantplus://offline/ref%3D8470EE90C9EE1BD81D3A18F36919FC7428D88E17C1CD49B173078E7BDC803D245464FBA93A460A05i4Z3H" TargetMode="External"/><Relationship Id="rId13" Type="http://schemas.openxmlformats.org/officeDocument/2006/relationships/hyperlink" Target="consultantplus://offline/ref%3D8470EE90C9EE1BD81D3A18F36919FC742BDF861ECACD49B173078E7BDCi8Z0H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Home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GOCHS</dc:creator>
  <cp:revision>17</cp:revision>
  <dcterms:created xsi:type="dcterms:W3CDTF">2024-12-09T07:50:00Z</dcterms:created>
  <dcterms:modified xsi:type="dcterms:W3CDTF">2025-05-19T03:55:20Z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2024-07-02T00:00:00Z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2024-12-09T00:00:00Z</vt:filetime>
  </property>
</Properties>
</file>